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FB60" w14:textId="36D48C47" w:rsidR="00B27685" w:rsidRPr="00F510FE" w:rsidRDefault="00B27685" w:rsidP="00F510FE">
      <w:pPr>
        <w:pStyle w:val="Hlavika"/>
        <w:tabs>
          <w:tab w:val="left" w:pos="1977"/>
        </w:tabs>
        <w:ind w:firstLine="1977"/>
      </w:pPr>
    </w:p>
    <w:p w14:paraId="21836C51" w14:textId="4D7EF0C6" w:rsidR="00714D15" w:rsidRPr="00F510FE" w:rsidRDefault="00714D15" w:rsidP="00F510FE"/>
    <w:p w14:paraId="49DF1C1E" w14:textId="77777777" w:rsidR="00A52346" w:rsidRPr="00F510FE" w:rsidRDefault="00A52346" w:rsidP="00F510FE">
      <w:pPr>
        <w:jc w:val="both"/>
        <w:rPr>
          <w:b/>
          <w:bCs/>
        </w:rPr>
      </w:pPr>
    </w:p>
    <w:p w14:paraId="0F4689B0" w14:textId="77777777" w:rsidR="00E54ACB" w:rsidRPr="00F510FE" w:rsidRDefault="00E54ACB" w:rsidP="00F510FE"/>
    <w:p w14:paraId="201CCFCC" w14:textId="77777777" w:rsidR="00E54ACB" w:rsidRPr="00F510FE" w:rsidRDefault="00E54ACB" w:rsidP="00F510FE"/>
    <w:p w14:paraId="0C5C9B0E" w14:textId="50249C3B" w:rsidR="00B27685" w:rsidRPr="00F510FE" w:rsidRDefault="00B27685" w:rsidP="00F510FE"/>
    <w:p w14:paraId="57B528AC" w14:textId="77777777" w:rsidR="00E54ACB" w:rsidRPr="00F510FE" w:rsidRDefault="00E54ACB" w:rsidP="00F510FE"/>
    <w:p w14:paraId="03F1B9B9" w14:textId="77777777" w:rsidR="00EB2F61" w:rsidRPr="00F510FE" w:rsidRDefault="00EB2F61" w:rsidP="00F510FE"/>
    <w:p w14:paraId="6B6EB277" w14:textId="43B06510" w:rsidR="00EB2F61" w:rsidRPr="00F510FE" w:rsidRDefault="00EB2F61" w:rsidP="00F510FE"/>
    <w:p w14:paraId="6121DDB1" w14:textId="75217EA2" w:rsidR="003F06E5" w:rsidRPr="00F510FE" w:rsidRDefault="003F06E5" w:rsidP="00F510FE"/>
    <w:p w14:paraId="210406E9" w14:textId="7A2A579D" w:rsidR="003F06E5" w:rsidRPr="00F510FE" w:rsidRDefault="003F06E5" w:rsidP="00F510FE"/>
    <w:p w14:paraId="45701CEB" w14:textId="47F505D7" w:rsidR="003F06E5" w:rsidRPr="00F510FE" w:rsidRDefault="003F06E5" w:rsidP="00F510FE"/>
    <w:p w14:paraId="1DEDDCCE" w14:textId="77777777" w:rsidR="003F06E5" w:rsidRPr="00F510FE" w:rsidRDefault="003F06E5" w:rsidP="00F510FE"/>
    <w:p w14:paraId="41FFDB44" w14:textId="77777777" w:rsidR="00EB2F61" w:rsidRPr="00F510FE" w:rsidRDefault="00EB2F61" w:rsidP="00F510FE"/>
    <w:p w14:paraId="10C16B48" w14:textId="77777777" w:rsidR="00EB2F61" w:rsidRPr="00F510FE" w:rsidRDefault="00EB2F61" w:rsidP="00F510FE"/>
    <w:p w14:paraId="673D59EF" w14:textId="77777777" w:rsidR="00EB2F61" w:rsidRPr="00F510FE" w:rsidRDefault="00EB2F61" w:rsidP="00F510FE"/>
    <w:p w14:paraId="5BE63E5A" w14:textId="43CA1598" w:rsidR="00E54ACB" w:rsidRPr="00F510FE" w:rsidRDefault="008F3949" w:rsidP="00F510FE">
      <w:pPr>
        <w:jc w:val="center"/>
        <w:rPr>
          <w:b/>
          <w:bCs/>
          <w:sz w:val="36"/>
          <w:szCs w:val="36"/>
        </w:rPr>
      </w:pPr>
      <w:r w:rsidRPr="00F510FE">
        <w:rPr>
          <w:b/>
          <w:bCs/>
          <w:sz w:val="36"/>
          <w:szCs w:val="36"/>
        </w:rPr>
        <w:t>Integrovan</w:t>
      </w:r>
      <w:r w:rsidR="00094181">
        <w:rPr>
          <w:b/>
          <w:bCs/>
          <w:sz w:val="36"/>
          <w:szCs w:val="36"/>
        </w:rPr>
        <w:t>ý</w:t>
      </w:r>
      <w:r w:rsidRPr="00F510FE">
        <w:rPr>
          <w:b/>
          <w:bCs/>
          <w:sz w:val="36"/>
          <w:szCs w:val="36"/>
        </w:rPr>
        <w:t xml:space="preserve"> regionáln</w:t>
      </w:r>
      <w:r w:rsidR="00094181">
        <w:rPr>
          <w:b/>
          <w:bCs/>
          <w:sz w:val="36"/>
          <w:szCs w:val="36"/>
        </w:rPr>
        <w:t>y</w:t>
      </w:r>
      <w:r w:rsidRPr="00F510FE">
        <w:rPr>
          <w:b/>
          <w:bCs/>
          <w:sz w:val="36"/>
          <w:szCs w:val="36"/>
        </w:rPr>
        <w:t xml:space="preserve"> operačn</w:t>
      </w:r>
      <w:r w:rsidR="00094181">
        <w:rPr>
          <w:b/>
          <w:bCs/>
          <w:sz w:val="36"/>
          <w:szCs w:val="36"/>
        </w:rPr>
        <w:t>ý</w:t>
      </w:r>
    </w:p>
    <w:p w14:paraId="2AF2E3CE" w14:textId="212C40EA" w:rsidR="00E54ACB" w:rsidRPr="00F510FE" w:rsidRDefault="00E54ACB" w:rsidP="00F510FE">
      <w:pPr>
        <w:jc w:val="center"/>
        <w:rPr>
          <w:b/>
          <w:bCs/>
          <w:sz w:val="36"/>
          <w:szCs w:val="36"/>
        </w:rPr>
      </w:pPr>
      <w:r w:rsidRPr="00F510FE">
        <w:rPr>
          <w:b/>
          <w:bCs/>
          <w:sz w:val="36"/>
          <w:szCs w:val="36"/>
        </w:rPr>
        <w:t>program 2014 – 2020</w:t>
      </w:r>
      <w:r w:rsidR="008F3949" w:rsidRPr="00F510FE">
        <w:rPr>
          <w:b/>
          <w:bCs/>
          <w:sz w:val="36"/>
          <w:szCs w:val="36"/>
        </w:rPr>
        <w:t xml:space="preserve">, verzia </w:t>
      </w:r>
      <w:r w:rsidR="00E90E4B">
        <w:rPr>
          <w:b/>
          <w:bCs/>
          <w:sz w:val="36"/>
          <w:szCs w:val="36"/>
        </w:rPr>
        <w:t>14</w:t>
      </w:r>
      <w:r w:rsidR="008F3949" w:rsidRPr="00F510FE">
        <w:rPr>
          <w:b/>
          <w:bCs/>
          <w:sz w:val="36"/>
          <w:szCs w:val="36"/>
        </w:rPr>
        <w:t>.</w:t>
      </w:r>
      <w:r w:rsidR="001B4EC6" w:rsidRPr="00F510FE">
        <w:rPr>
          <w:b/>
          <w:bCs/>
          <w:sz w:val="36"/>
          <w:szCs w:val="36"/>
        </w:rPr>
        <w:t>0</w:t>
      </w:r>
    </w:p>
    <w:p w14:paraId="5A0BF5F1" w14:textId="77777777" w:rsidR="00E54ACB" w:rsidRPr="00F510FE" w:rsidRDefault="00E54ACB" w:rsidP="00F510FE">
      <w:pPr>
        <w:jc w:val="center"/>
        <w:rPr>
          <w:b/>
          <w:bCs/>
          <w:sz w:val="36"/>
          <w:szCs w:val="36"/>
        </w:rPr>
      </w:pPr>
      <w:r w:rsidRPr="00F510FE">
        <w:rPr>
          <w:b/>
          <w:bCs/>
          <w:sz w:val="36"/>
          <w:szCs w:val="36"/>
        </w:rPr>
        <w:t>______________</w:t>
      </w:r>
      <w:r w:rsidR="00A52346" w:rsidRPr="00F510FE">
        <w:rPr>
          <w:b/>
          <w:bCs/>
          <w:sz w:val="36"/>
          <w:szCs w:val="36"/>
        </w:rPr>
        <w:t>_______________________________</w:t>
      </w:r>
    </w:p>
    <w:p w14:paraId="17E71457" w14:textId="77777777" w:rsidR="00E54ACB" w:rsidRPr="00F510FE" w:rsidRDefault="00E54ACB" w:rsidP="00F510FE"/>
    <w:p w14:paraId="0F8B84DD" w14:textId="77777777" w:rsidR="00EB2F61" w:rsidRPr="00F510FE" w:rsidRDefault="00EB2F61" w:rsidP="00F510FE"/>
    <w:p w14:paraId="58AF20F9" w14:textId="77777777" w:rsidR="00B27685" w:rsidRPr="00F510FE" w:rsidRDefault="00B27685" w:rsidP="00F510FE"/>
    <w:p w14:paraId="5190D5AF" w14:textId="77777777" w:rsidR="00E54ACB" w:rsidRPr="00F510FE" w:rsidRDefault="00E54ACB" w:rsidP="00F510FE">
      <w:pPr>
        <w:jc w:val="center"/>
        <w:rPr>
          <w:b/>
          <w:bCs/>
          <w:color w:val="008000"/>
          <w:sz w:val="36"/>
          <w:szCs w:val="36"/>
        </w:rPr>
      </w:pPr>
      <w:r w:rsidRPr="00F510FE">
        <w:rPr>
          <w:b/>
          <w:bCs/>
          <w:color w:val="008000"/>
          <w:sz w:val="36"/>
          <w:szCs w:val="36"/>
        </w:rPr>
        <w:t>Oznámenie o</w:t>
      </w:r>
      <w:r w:rsidR="00B27685" w:rsidRPr="00F510FE">
        <w:rPr>
          <w:b/>
          <w:bCs/>
          <w:color w:val="008000"/>
          <w:sz w:val="36"/>
          <w:szCs w:val="36"/>
        </w:rPr>
        <w:t> zmene strategického dokumentu</w:t>
      </w:r>
    </w:p>
    <w:p w14:paraId="3C6283A0" w14:textId="77777777" w:rsidR="00B27685" w:rsidRPr="00F510FE" w:rsidRDefault="00F523BD" w:rsidP="00F510FE">
      <w:pPr>
        <w:jc w:val="center"/>
        <w:rPr>
          <w:color w:val="008000"/>
        </w:rPr>
      </w:pPr>
      <w:r w:rsidRPr="00F510FE">
        <w:rPr>
          <w:color w:val="008000"/>
        </w:rPr>
        <w:t>podľa zákona č. 24/2006</w:t>
      </w:r>
      <w:r w:rsidR="00B27685" w:rsidRPr="00F510FE">
        <w:rPr>
          <w:color w:val="008000"/>
        </w:rPr>
        <w:t xml:space="preserve"> Z. z. o posudzovaní vplyvov na životné prostredie a o zmene a doplnení niektorých zákonov v znení neskorších predpisov</w:t>
      </w:r>
    </w:p>
    <w:p w14:paraId="2A605DEE" w14:textId="77777777" w:rsidR="00E54ACB" w:rsidRPr="00F510FE" w:rsidRDefault="00E54ACB" w:rsidP="00F510FE"/>
    <w:p w14:paraId="4E002DE8" w14:textId="77777777" w:rsidR="00247EF6" w:rsidRPr="00F510FE" w:rsidRDefault="00247EF6" w:rsidP="00F510FE">
      <w:pPr>
        <w:rPr>
          <w:bCs/>
          <w:sz w:val="22"/>
          <w:szCs w:val="22"/>
        </w:rPr>
      </w:pPr>
    </w:p>
    <w:p w14:paraId="77EDEAD4" w14:textId="77777777" w:rsidR="008722EB" w:rsidRPr="00F510FE" w:rsidRDefault="008722EB" w:rsidP="00F510FE">
      <w:pPr>
        <w:rPr>
          <w:bCs/>
          <w:sz w:val="22"/>
          <w:szCs w:val="22"/>
        </w:rPr>
      </w:pPr>
    </w:p>
    <w:p w14:paraId="558E4448" w14:textId="77777777" w:rsidR="00EB2F61" w:rsidRPr="00F510FE" w:rsidRDefault="00EB2F61" w:rsidP="00F510FE">
      <w:pPr>
        <w:rPr>
          <w:bCs/>
          <w:sz w:val="22"/>
          <w:szCs w:val="22"/>
        </w:rPr>
      </w:pPr>
    </w:p>
    <w:p w14:paraId="4DDE5645" w14:textId="77777777" w:rsidR="00EB2F61" w:rsidRPr="00F510FE" w:rsidRDefault="00EB2F61" w:rsidP="00F510FE">
      <w:pPr>
        <w:rPr>
          <w:bCs/>
          <w:sz w:val="22"/>
          <w:szCs w:val="22"/>
        </w:rPr>
      </w:pPr>
    </w:p>
    <w:p w14:paraId="65A08648" w14:textId="06CA63EB" w:rsidR="00EB2F61" w:rsidRDefault="00EB2F61" w:rsidP="003B0C62">
      <w:pPr>
        <w:jc w:val="center"/>
        <w:rPr>
          <w:bCs/>
          <w:sz w:val="22"/>
          <w:szCs w:val="22"/>
        </w:rPr>
      </w:pPr>
    </w:p>
    <w:p w14:paraId="1D67E67F" w14:textId="6E4CBC10" w:rsidR="00A508D6" w:rsidRDefault="00A508D6" w:rsidP="003B0C62">
      <w:pPr>
        <w:jc w:val="center"/>
        <w:rPr>
          <w:bCs/>
          <w:sz w:val="22"/>
          <w:szCs w:val="22"/>
        </w:rPr>
      </w:pPr>
    </w:p>
    <w:p w14:paraId="10D7AF65" w14:textId="5C521C57" w:rsidR="00A508D6" w:rsidRDefault="00A508D6" w:rsidP="003B0C62">
      <w:pPr>
        <w:jc w:val="center"/>
        <w:rPr>
          <w:bCs/>
          <w:sz w:val="22"/>
          <w:szCs w:val="22"/>
        </w:rPr>
      </w:pPr>
    </w:p>
    <w:p w14:paraId="551621BA" w14:textId="77777777" w:rsidR="00A508D6" w:rsidRPr="00F510FE" w:rsidRDefault="00A508D6" w:rsidP="003B0C62">
      <w:pPr>
        <w:jc w:val="center"/>
        <w:rPr>
          <w:bCs/>
          <w:sz w:val="22"/>
          <w:szCs w:val="22"/>
        </w:rPr>
      </w:pPr>
    </w:p>
    <w:p w14:paraId="49F4AD3B" w14:textId="77777777" w:rsidR="00EB2F61" w:rsidRPr="00F510FE" w:rsidRDefault="00EB2F61" w:rsidP="00F510FE">
      <w:pPr>
        <w:rPr>
          <w:bCs/>
          <w:sz w:val="22"/>
          <w:szCs w:val="22"/>
        </w:rPr>
      </w:pPr>
    </w:p>
    <w:p w14:paraId="4AA68CAC" w14:textId="77777777" w:rsidR="00EB2F61" w:rsidRPr="00F510FE" w:rsidRDefault="00EB2F61" w:rsidP="00F510FE">
      <w:pPr>
        <w:rPr>
          <w:bCs/>
          <w:sz w:val="22"/>
          <w:szCs w:val="22"/>
        </w:rPr>
      </w:pPr>
    </w:p>
    <w:p w14:paraId="726F6CF6" w14:textId="77777777" w:rsidR="00EB2F61" w:rsidRPr="00F510FE" w:rsidRDefault="00EB2F61" w:rsidP="00F510FE">
      <w:pPr>
        <w:rPr>
          <w:bCs/>
          <w:sz w:val="22"/>
          <w:szCs w:val="22"/>
        </w:rPr>
      </w:pPr>
    </w:p>
    <w:p w14:paraId="37B40856" w14:textId="77777777" w:rsidR="00EB2F61" w:rsidRPr="00F510FE" w:rsidRDefault="00EB2F61" w:rsidP="00F510FE">
      <w:pPr>
        <w:rPr>
          <w:bCs/>
          <w:sz w:val="22"/>
          <w:szCs w:val="22"/>
        </w:rPr>
      </w:pPr>
    </w:p>
    <w:p w14:paraId="10B0A589" w14:textId="77777777" w:rsidR="00EB2F61" w:rsidRPr="00F510FE" w:rsidRDefault="00EB2F61" w:rsidP="00F510FE">
      <w:pPr>
        <w:rPr>
          <w:bCs/>
          <w:sz w:val="22"/>
          <w:szCs w:val="22"/>
        </w:rPr>
      </w:pPr>
    </w:p>
    <w:p w14:paraId="63CB2786" w14:textId="77777777" w:rsidR="00EB2F61" w:rsidRPr="00F510FE" w:rsidRDefault="00EB2F61" w:rsidP="00F510FE">
      <w:pPr>
        <w:rPr>
          <w:bCs/>
          <w:sz w:val="22"/>
          <w:szCs w:val="22"/>
        </w:rPr>
      </w:pPr>
    </w:p>
    <w:p w14:paraId="1FDB940F" w14:textId="25FE1C65" w:rsidR="00EB2F61" w:rsidRDefault="00EB2F61" w:rsidP="00F510FE">
      <w:pPr>
        <w:rPr>
          <w:bCs/>
          <w:sz w:val="22"/>
          <w:szCs w:val="22"/>
        </w:rPr>
      </w:pPr>
    </w:p>
    <w:p w14:paraId="20940444" w14:textId="1337601A" w:rsidR="003B0C62" w:rsidRDefault="003B0C62" w:rsidP="00F510FE">
      <w:pPr>
        <w:rPr>
          <w:bCs/>
          <w:sz w:val="22"/>
          <w:szCs w:val="22"/>
        </w:rPr>
      </w:pPr>
    </w:p>
    <w:p w14:paraId="4E6E8AC1" w14:textId="11892195" w:rsidR="003B0C62" w:rsidRDefault="003B0C62" w:rsidP="00F510FE">
      <w:pPr>
        <w:rPr>
          <w:bCs/>
          <w:sz w:val="22"/>
          <w:szCs w:val="22"/>
        </w:rPr>
      </w:pPr>
    </w:p>
    <w:p w14:paraId="54DA1A55" w14:textId="77777777" w:rsidR="003B0C62" w:rsidRPr="00F510FE" w:rsidRDefault="003B0C62" w:rsidP="00F510FE">
      <w:pPr>
        <w:rPr>
          <w:bCs/>
          <w:sz w:val="22"/>
          <w:szCs w:val="22"/>
        </w:rPr>
      </w:pPr>
    </w:p>
    <w:p w14:paraId="1C92A5C5" w14:textId="77777777" w:rsidR="00B27685" w:rsidRPr="00F510FE" w:rsidRDefault="00B27685" w:rsidP="00F510FE">
      <w:pPr>
        <w:rPr>
          <w:bCs/>
          <w:sz w:val="22"/>
          <w:szCs w:val="22"/>
        </w:rPr>
      </w:pPr>
    </w:p>
    <w:p w14:paraId="37B0092E" w14:textId="77777777" w:rsidR="00EB2F61" w:rsidRPr="00F510FE" w:rsidRDefault="00EB2F61" w:rsidP="00F510FE">
      <w:pPr>
        <w:rPr>
          <w:bCs/>
          <w:sz w:val="22"/>
          <w:szCs w:val="22"/>
        </w:rPr>
      </w:pPr>
    </w:p>
    <w:p w14:paraId="775CFE01" w14:textId="77777777" w:rsidR="00EB2F61" w:rsidRPr="00F510FE" w:rsidRDefault="00EB2F61" w:rsidP="00F510FE">
      <w:pPr>
        <w:rPr>
          <w:bCs/>
          <w:sz w:val="22"/>
          <w:szCs w:val="22"/>
        </w:rPr>
      </w:pPr>
    </w:p>
    <w:p w14:paraId="4053D3AC" w14:textId="683BB943" w:rsidR="00EB2F61" w:rsidRPr="00F510FE" w:rsidRDefault="00B27685" w:rsidP="00F510FE">
      <w:pPr>
        <w:jc w:val="center"/>
        <w:rPr>
          <w:bCs/>
          <w:sz w:val="22"/>
          <w:szCs w:val="22"/>
        </w:rPr>
      </w:pPr>
      <w:r w:rsidRPr="00F510FE">
        <w:rPr>
          <w:bCs/>
          <w:sz w:val="22"/>
          <w:szCs w:val="22"/>
        </w:rPr>
        <w:t xml:space="preserve">Bratislava, </w:t>
      </w:r>
      <w:r w:rsidR="00E90E4B">
        <w:rPr>
          <w:bCs/>
          <w:sz w:val="22"/>
          <w:szCs w:val="22"/>
        </w:rPr>
        <w:t>máj</w:t>
      </w:r>
      <w:r w:rsidR="00047175">
        <w:rPr>
          <w:bCs/>
          <w:sz w:val="22"/>
          <w:szCs w:val="22"/>
        </w:rPr>
        <w:t xml:space="preserve"> </w:t>
      </w:r>
      <w:r w:rsidR="00DC06DD">
        <w:rPr>
          <w:bCs/>
          <w:sz w:val="22"/>
          <w:szCs w:val="22"/>
        </w:rPr>
        <w:t>2023</w:t>
      </w:r>
    </w:p>
    <w:p w14:paraId="6FE8688D" w14:textId="77777777" w:rsidR="00EB2F61" w:rsidRPr="00F510FE" w:rsidRDefault="00EB2F61" w:rsidP="00F510FE">
      <w:pPr>
        <w:rPr>
          <w:bCs/>
          <w:sz w:val="22"/>
          <w:szCs w:val="22"/>
        </w:rPr>
      </w:pPr>
    </w:p>
    <w:p w14:paraId="734BB166" w14:textId="6AEC4659" w:rsidR="00B27685" w:rsidRPr="00F510FE" w:rsidRDefault="00B27685" w:rsidP="00F510FE">
      <w:pPr>
        <w:rPr>
          <w:bCs/>
          <w:sz w:val="22"/>
          <w:szCs w:val="22"/>
        </w:rPr>
      </w:pPr>
      <w:r w:rsidRPr="00F510FE">
        <w:rPr>
          <w:b/>
          <w:bCs/>
          <w:sz w:val="36"/>
          <w:szCs w:val="36"/>
          <w:u w:val="single"/>
        </w:rPr>
        <w:br w:type="page"/>
      </w:r>
    </w:p>
    <w:p w14:paraId="39E19B0E" w14:textId="77777777" w:rsidR="00E54ACB" w:rsidRPr="006A5F60" w:rsidRDefault="00E54ACB" w:rsidP="00F510FE">
      <w:pPr>
        <w:spacing w:before="80" w:line="276" w:lineRule="auto"/>
        <w:ind w:left="357" w:hanging="357"/>
        <w:rPr>
          <w:b/>
          <w:bCs/>
          <w:sz w:val="22"/>
          <w:szCs w:val="22"/>
        </w:rPr>
      </w:pPr>
      <w:r w:rsidRPr="006A5F60">
        <w:rPr>
          <w:b/>
          <w:bCs/>
          <w:sz w:val="22"/>
          <w:szCs w:val="22"/>
        </w:rPr>
        <w:lastRenderedPageBreak/>
        <w:t>I.</w:t>
      </w:r>
      <w:r w:rsidRPr="006A5F60">
        <w:rPr>
          <w:b/>
          <w:bCs/>
          <w:sz w:val="22"/>
          <w:szCs w:val="22"/>
        </w:rPr>
        <w:tab/>
        <w:t>Základné údaje o obstarávateľovi</w:t>
      </w:r>
    </w:p>
    <w:p w14:paraId="4ABD9991" w14:textId="0E6D970E" w:rsidR="00E54ACB" w:rsidRPr="006A5F60" w:rsidRDefault="00E54ACB" w:rsidP="00094181">
      <w:pPr>
        <w:spacing w:before="120" w:line="276" w:lineRule="auto"/>
        <w:ind w:left="567" w:hanging="210"/>
        <w:jc w:val="both"/>
        <w:rPr>
          <w:b/>
          <w:bCs/>
          <w:sz w:val="22"/>
          <w:szCs w:val="22"/>
        </w:rPr>
      </w:pPr>
      <w:r w:rsidRPr="006A5F60">
        <w:rPr>
          <w:b/>
          <w:bCs/>
          <w:sz w:val="22"/>
          <w:szCs w:val="22"/>
        </w:rPr>
        <w:t>1.</w:t>
      </w:r>
      <w:r w:rsidRPr="006A5F60">
        <w:rPr>
          <w:b/>
          <w:bCs/>
          <w:sz w:val="22"/>
          <w:szCs w:val="22"/>
        </w:rPr>
        <w:tab/>
        <w:t>Názov</w:t>
      </w:r>
    </w:p>
    <w:p w14:paraId="66B931C1" w14:textId="68D753E4" w:rsidR="00E54ACB" w:rsidRPr="006A5F60" w:rsidRDefault="00E54ACB" w:rsidP="00CE2BC5">
      <w:pPr>
        <w:spacing w:before="80" w:line="276" w:lineRule="auto"/>
        <w:jc w:val="both"/>
        <w:rPr>
          <w:sz w:val="22"/>
          <w:szCs w:val="22"/>
        </w:rPr>
      </w:pPr>
      <w:r w:rsidRPr="006A5F60">
        <w:rPr>
          <w:sz w:val="22"/>
          <w:szCs w:val="22"/>
        </w:rPr>
        <w:t xml:space="preserve">Ministerstvo </w:t>
      </w:r>
      <w:r w:rsidR="00C62FB0" w:rsidRPr="006A5F60">
        <w:rPr>
          <w:sz w:val="22"/>
          <w:szCs w:val="22"/>
        </w:rPr>
        <w:t>investícií, regionálneho rozvoja a informatizácie</w:t>
      </w:r>
      <w:r w:rsidRPr="006A5F60">
        <w:rPr>
          <w:sz w:val="22"/>
          <w:szCs w:val="22"/>
        </w:rPr>
        <w:t xml:space="preserve"> SR</w:t>
      </w:r>
    </w:p>
    <w:p w14:paraId="209A197D" w14:textId="77777777" w:rsidR="00E54ACB" w:rsidRPr="006A5F60" w:rsidRDefault="00E54ACB" w:rsidP="00094181">
      <w:pPr>
        <w:spacing w:before="120" w:line="276" w:lineRule="auto"/>
        <w:ind w:left="567" w:hanging="210"/>
        <w:jc w:val="both"/>
        <w:rPr>
          <w:b/>
          <w:bCs/>
          <w:sz w:val="22"/>
          <w:szCs w:val="22"/>
        </w:rPr>
      </w:pPr>
      <w:r w:rsidRPr="006A5F60">
        <w:rPr>
          <w:b/>
          <w:bCs/>
          <w:sz w:val="22"/>
          <w:szCs w:val="22"/>
        </w:rPr>
        <w:t>2.</w:t>
      </w:r>
      <w:r w:rsidRPr="006A5F60">
        <w:rPr>
          <w:b/>
          <w:bCs/>
          <w:sz w:val="22"/>
          <w:szCs w:val="22"/>
        </w:rPr>
        <w:tab/>
        <w:t>Identifikačné číslo</w:t>
      </w:r>
    </w:p>
    <w:p w14:paraId="34D22B5F" w14:textId="73E8271B" w:rsidR="006A344A" w:rsidRPr="006A5F60" w:rsidRDefault="006A344A" w:rsidP="00CE2BC5">
      <w:pPr>
        <w:spacing w:before="80" w:line="276" w:lineRule="auto"/>
        <w:jc w:val="both"/>
        <w:rPr>
          <w:sz w:val="22"/>
          <w:szCs w:val="22"/>
        </w:rPr>
      </w:pPr>
      <w:r w:rsidRPr="006A5F60">
        <w:rPr>
          <w:sz w:val="22"/>
          <w:szCs w:val="22"/>
        </w:rPr>
        <w:t>50 349 287</w:t>
      </w:r>
    </w:p>
    <w:p w14:paraId="48ED13EB" w14:textId="6A17497F" w:rsidR="00E54ACB" w:rsidRPr="006A5F60" w:rsidRDefault="00E54ACB" w:rsidP="00094181">
      <w:pPr>
        <w:spacing w:before="120" w:line="276" w:lineRule="auto"/>
        <w:ind w:left="567" w:hanging="210"/>
        <w:jc w:val="both"/>
        <w:rPr>
          <w:b/>
          <w:bCs/>
          <w:sz w:val="22"/>
          <w:szCs w:val="22"/>
        </w:rPr>
      </w:pPr>
      <w:r w:rsidRPr="006A5F60">
        <w:rPr>
          <w:b/>
          <w:bCs/>
          <w:sz w:val="22"/>
          <w:szCs w:val="22"/>
        </w:rPr>
        <w:t>3.</w:t>
      </w:r>
      <w:r w:rsidRPr="006A5F60">
        <w:rPr>
          <w:b/>
          <w:bCs/>
          <w:sz w:val="22"/>
          <w:szCs w:val="22"/>
        </w:rPr>
        <w:tab/>
        <w:t>Adresa sídla</w:t>
      </w:r>
    </w:p>
    <w:p w14:paraId="3FA29B42" w14:textId="661113DA" w:rsidR="00B27685" w:rsidRPr="006A5F60" w:rsidRDefault="00DC06DD" w:rsidP="00CE2BC5">
      <w:pPr>
        <w:spacing w:before="80" w:line="276" w:lineRule="auto"/>
        <w:contextualSpacing/>
        <w:jc w:val="both"/>
        <w:rPr>
          <w:sz w:val="22"/>
          <w:szCs w:val="22"/>
        </w:rPr>
      </w:pPr>
      <w:r w:rsidRPr="006A5F60">
        <w:rPr>
          <w:sz w:val="22"/>
          <w:szCs w:val="22"/>
        </w:rPr>
        <w:t>Pribinova 25</w:t>
      </w:r>
    </w:p>
    <w:p w14:paraId="38338F07" w14:textId="2F313367" w:rsidR="00DC06DD" w:rsidRPr="006A5F60" w:rsidRDefault="00DC06DD" w:rsidP="00CE2BC5">
      <w:pPr>
        <w:spacing w:before="80" w:line="276" w:lineRule="auto"/>
        <w:contextualSpacing/>
        <w:jc w:val="both"/>
        <w:rPr>
          <w:sz w:val="22"/>
          <w:szCs w:val="22"/>
        </w:rPr>
      </w:pPr>
      <w:r w:rsidRPr="006A5F60">
        <w:rPr>
          <w:sz w:val="22"/>
          <w:szCs w:val="22"/>
        </w:rPr>
        <w:t>811 09 Bratislava</w:t>
      </w:r>
    </w:p>
    <w:p w14:paraId="5C2B14AF" w14:textId="77777777" w:rsidR="00B27685" w:rsidRPr="006A5F60" w:rsidRDefault="00B27685" w:rsidP="00CE2BC5">
      <w:pPr>
        <w:spacing w:before="80" w:line="276" w:lineRule="auto"/>
        <w:contextualSpacing/>
        <w:jc w:val="both"/>
        <w:rPr>
          <w:sz w:val="22"/>
          <w:szCs w:val="22"/>
        </w:rPr>
      </w:pPr>
      <w:r w:rsidRPr="006A5F60">
        <w:rPr>
          <w:sz w:val="22"/>
          <w:szCs w:val="22"/>
        </w:rPr>
        <w:t>Slovenská republika</w:t>
      </w:r>
    </w:p>
    <w:p w14:paraId="5BE8587D" w14:textId="77777777" w:rsidR="00E54ACB" w:rsidRPr="006A5F60" w:rsidRDefault="00E54ACB" w:rsidP="00094181">
      <w:pPr>
        <w:spacing w:before="120" w:line="276" w:lineRule="auto"/>
        <w:ind w:left="567" w:hanging="210"/>
        <w:jc w:val="both"/>
        <w:rPr>
          <w:b/>
          <w:bCs/>
          <w:sz w:val="22"/>
          <w:szCs w:val="22"/>
        </w:rPr>
      </w:pPr>
      <w:r w:rsidRPr="006A5F60">
        <w:rPr>
          <w:b/>
          <w:bCs/>
          <w:sz w:val="22"/>
          <w:szCs w:val="22"/>
        </w:rPr>
        <w:t>4.</w:t>
      </w:r>
      <w:r w:rsidRPr="006A5F60">
        <w:rPr>
          <w:b/>
          <w:bCs/>
          <w:sz w:val="22"/>
          <w:szCs w:val="22"/>
        </w:rPr>
        <w:tab/>
        <w:t>Meno, priezvisko, adresa, telefónne číslo a iné kontaktné údaje oprávneného zástupcu obstarávateľa</w:t>
      </w:r>
    </w:p>
    <w:p w14:paraId="043FF1D1" w14:textId="22F37D20" w:rsidR="007E0EFD" w:rsidRPr="006A5F60" w:rsidRDefault="00591479" w:rsidP="00CE2BC5">
      <w:pPr>
        <w:spacing w:before="120" w:line="276" w:lineRule="auto"/>
        <w:jc w:val="both"/>
        <w:rPr>
          <w:sz w:val="22"/>
          <w:szCs w:val="22"/>
        </w:rPr>
      </w:pPr>
      <w:r w:rsidRPr="006A5F60">
        <w:rPr>
          <w:sz w:val="22"/>
          <w:szCs w:val="22"/>
        </w:rPr>
        <w:t>Ing. Albert Németh</w:t>
      </w:r>
      <w:r w:rsidR="00F50ECB" w:rsidRPr="006A5F60">
        <w:rPr>
          <w:sz w:val="22"/>
          <w:szCs w:val="22"/>
        </w:rPr>
        <w:t>, MBA</w:t>
      </w:r>
    </w:p>
    <w:p w14:paraId="242C939A" w14:textId="4D1C70D4" w:rsidR="007E0EFD" w:rsidRPr="006A5F60" w:rsidRDefault="007E0EFD" w:rsidP="00CE2BC5">
      <w:pPr>
        <w:spacing w:before="80" w:line="276" w:lineRule="auto"/>
        <w:contextualSpacing/>
        <w:jc w:val="both"/>
        <w:rPr>
          <w:sz w:val="22"/>
          <w:szCs w:val="22"/>
        </w:rPr>
      </w:pPr>
      <w:r w:rsidRPr="006A5F60">
        <w:rPr>
          <w:sz w:val="22"/>
          <w:szCs w:val="22"/>
        </w:rPr>
        <w:t>generálny ria</w:t>
      </w:r>
      <w:r w:rsidR="00D74F80" w:rsidRPr="006A5F60">
        <w:rPr>
          <w:sz w:val="22"/>
          <w:szCs w:val="22"/>
        </w:rPr>
        <w:t xml:space="preserve">diteľ </w:t>
      </w:r>
      <w:r w:rsidRPr="006A5F60">
        <w:rPr>
          <w:sz w:val="22"/>
          <w:szCs w:val="22"/>
        </w:rPr>
        <w:t xml:space="preserve">sekcie </w:t>
      </w:r>
      <w:r w:rsidR="00591479" w:rsidRPr="006A5F60">
        <w:rPr>
          <w:sz w:val="22"/>
          <w:szCs w:val="22"/>
        </w:rPr>
        <w:t>IROP</w:t>
      </w:r>
    </w:p>
    <w:p w14:paraId="45EBF1D1" w14:textId="77777777" w:rsidR="00591479" w:rsidRPr="006A5F60" w:rsidRDefault="00591479" w:rsidP="00CE2BC5">
      <w:pPr>
        <w:spacing w:line="276" w:lineRule="auto"/>
        <w:jc w:val="both"/>
        <w:rPr>
          <w:sz w:val="22"/>
          <w:szCs w:val="22"/>
        </w:rPr>
      </w:pPr>
      <w:r w:rsidRPr="006A5F60">
        <w:rPr>
          <w:sz w:val="22"/>
          <w:szCs w:val="22"/>
        </w:rPr>
        <w:t>Ministerstvo investícií, regionálneho rozvoja a informatizácie SR</w:t>
      </w:r>
    </w:p>
    <w:p w14:paraId="2A0CBBB1" w14:textId="56E1E985" w:rsidR="007E0EFD" w:rsidRPr="006A5F60" w:rsidRDefault="00DC06DD" w:rsidP="00CE2BC5">
      <w:pPr>
        <w:spacing w:before="80" w:line="276" w:lineRule="auto"/>
        <w:contextualSpacing/>
        <w:jc w:val="both"/>
        <w:rPr>
          <w:sz w:val="22"/>
          <w:szCs w:val="22"/>
        </w:rPr>
      </w:pPr>
      <w:r w:rsidRPr="006A5F60">
        <w:rPr>
          <w:sz w:val="22"/>
          <w:szCs w:val="22"/>
        </w:rPr>
        <w:t>Pribinova 25</w:t>
      </w:r>
    </w:p>
    <w:p w14:paraId="33C8855C" w14:textId="4A7B9014" w:rsidR="00DC06DD" w:rsidRPr="006A5F60" w:rsidRDefault="00DC06DD" w:rsidP="00CE2BC5">
      <w:pPr>
        <w:spacing w:before="80" w:line="276" w:lineRule="auto"/>
        <w:contextualSpacing/>
        <w:jc w:val="both"/>
        <w:rPr>
          <w:sz w:val="22"/>
          <w:szCs w:val="22"/>
        </w:rPr>
      </w:pPr>
      <w:r w:rsidRPr="006A5F60">
        <w:rPr>
          <w:sz w:val="22"/>
          <w:szCs w:val="22"/>
        </w:rPr>
        <w:t>811 09  Bratislava</w:t>
      </w:r>
    </w:p>
    <w:p w14:paraId="458950DD" w14:textId="07E1B855" w:rsidR="007E0EFD" w:rsidRPr="006A5F60" w:rsidRDefault="00724642" w:rsidP="00CE2BC5">
      <w:pPr>
        <w:spacing w:before="80" w:line="276" w:lineRule="auto"/>
        <w:contextualSpacing/>
        <w:jc w:val="both"/>
        <w:rPr>
          <w:sz w:val="22"/>
          <w:szCs w:val="22"/>
        </w:rPr>
      </w:pPr>
      <w:r w:rsidRPr="006A5F60">
        <w:rPr>
          <w:sz w:val="22"/>
          <w:szCs w:val="22"/>
        </w:rPr>
        <w:t>Tel</w:t>
      </w:r>
      <w:r w:rsidR="007E0EFD" w:rsidRPr="006A5F60">
        <w:rPr>
          <w:sz w:val="22"/>
          <w:szCs w:val="22"/>
        </w:rPr>
        <w:t xml:space="preserve">: +421 </w:t>
      </w:r>
      <w:r w:rsidR="00591479" w:rsidRPr="006A5F60">
        <w:rPr>
          <w:sz w:val="22"/>
          <w:szCs w:val="22"/>
        </w:rPr>
        <w:t>2 2092</w:t>
      </w:r>
      <w:r w:rsidR="007E0EFD" w:rsidRPr="006A5F60">
        <w:rPr>
          <w:sz w:val="22"/>
          <w:szCs w:val="22"/>
        </w:rPr>
        <w:t xml:space="preserve"> </w:t>
      </w:r>
      <w:r w:rsidR="00591479" w:rsidRPr="006A5F60">
        <w:rPr>
          <w:sz w:val="22"/>
          <w:szCs w:val="22"/>
        </w:rPr>
        <w:t>8602</w:t>
      </w:r>
    </w:p>
    <w:p w14:paraId="3FF006C7" w14:textId="0B03B0B7" w:rsidR="007E0EFD" w:rsidRPr="006A5F60" w:rsidRDefault="007E0EFD" w:rsidP="00CE2BC5">
      <w:pPr>
        <w:spacing w:before="80" w:line="276" w:lineRule="auto"/>
        <w:contextualSpacing/>
        <w:jc w:val="both"/>
        <w:rPr>
          <w:sz w:val="22"/>
          <w:szCs w:val="22"/>
          <w:lang w:val="en-US"/>
        </w:rPr>
      </w:pPr>
      <w:r w:rsidRPr="006A5F60">
        <w:rPr>
          <w:sz w:val="22"/>
          <w:szCs w:val="22"/>
        </w:rPr>
        <w:t xml:space="preserve">e-mail: </w:t>
      </w:r>
      <w:hyperlink r:id="rId8" w:history="1">
        <w:r w:rsidR="00591479" w:rsidRPr="006A5F60">
          <w:rPr>
            <w:rStyle w:val="Hypertextovprepojenie"/>
            <w:sz w:val="22"/>
            <w:szCs w:val="22"/>
          </w:rPr>
          <w:t>albert.nemeth@mirri.gov.sk</w:t>
        </w:r>
      </w:hyperlink>
      <w:r w:rsidRPr="006A5F60">
        <w:rPr>
          <w:sz w:val="22"/>
          <w:szCs w:val="22"/>
          <w:lang w:val="en-US"/>
        </w:rPr>
        <w:t xml:space="preserve"> </w:t>
      </w:r>
    </w:p>
    <w:p w14:paraId="2E371BF8" w14:textId="3A85C8D4" w:rsidR="00E54ACB" w:rsidRPr="006A5F60" w:rsidRDefault="0082329E" w:rsidP="00094181">
      <w:pPr>
        <w:spacing w:before="120" w:line="276" w:lineRule="auto"/>
        <w:ind w:left="567" w:hanging="210"/>
        <w:jc w:val="both"/>
        <w:rPr>
          <w:b/>
          <w:bCs/>
          <w:sz w:val="22"/>
          <w:szCs w:val="22"/>
        </w:rPr>
      </w:pPr>
      <w:r w:rsidRPr="006A5F60">
        <w:rPr>
          <w:b/>
          <w:bCs/>
          <w:sz w:val="22"/>
          <w:szCs w:val="22"/>
        </w:rPr>
        <w:t>5.</w:t>
      </w:r>
      <w:r w:rsidRPr="006A5F60">
        <w:rPr>
          <w:b/>
          <w:bCs/>
          <w:sz w:val="22"/>
          <w:szCs w:val="22"/>
        </w:rPr>
        <w:tab/>
      </w:r>
      <w:r w:rsidR="00E54ACB" w:rsidRPr="006A5F60">
        <w:rPr>
          <w:b/>
          <w:bCs/>
          <w:sz w:val="22"/>
          <w:szCs w:val="22"/>
        </w:rPr>
        <w:t>Meno, priezvisko, adresa, telefónne číslo a iné konta</w:t>
      </w:r>
      <w:r w:rsidR="00724642" w:rsidRPr="006A5F60">
        <w:rPr>
          <w:b/>
          <w:bCs/>
          <w:sz w:val="22"/>
          <w:szCs w:val="22"/>
        </w:rPr>
        <w:t>ktné údaje kontaktnej osoby, od </w:t>
      </w:r>
      <w:r w:rsidR="00E54ACB" w:rsidRPr="006A5F60">
        <w:rPr>
          <w:b/>
          <w:bCs/>
          <w:sz w:val="22"/>
          <w:szCs w:val="22"/>
        </w:rPr>
        <w:t>ktorej možno dostať relevantné informácie o strategickom dokumente</w:t>
      </w:r>
      <w:r w:rsidR="00724642" w:rsidRPr="006A5F60">
        <w:rPr>
          <w:b/>
          <w:bCs/>
          <w:sz w:val="22"/>
          <w:szCs w:val="22"/>
        </w:rPr>
        <w:t xml:space="preserve"> a miesto na </w:t>
      </w:r>
      <w:r w:rsidR="00E54ACB" w:rsidRPr="006A5F60">
        <w:rPr>
          <w:b/>
          <w:bCs/>
          <w:sz w:val="22"/>
          <w:szCs w:val="22"/>
        </w:rPr>
        <w:t>konzultácie</w:t>
      </w:r>
    </w:p>
    <w:p w14:paraId="03438C0E" w14:textId="635662BF" w:rsidR="00E54ACB" w:rsidRPr="006A5F60" w:rsidRDefault="005B1859" w:rsidP="00CE2BC5">
      <w:pPr>
        <w:spacing w:before="120" w:line="276" w:lineRule="auto"/>
        <w:jc w:val="both"/>
        <w:rPr>
          <w:sz w:val="22"/>
          <w:szCs w:val="22"/>
        </w:rPr>
      </w:pPr>
      <w:r w:rsidRPr="006A5F60">
        <w:rPr>
          <w:sz w:val="22"/>
          <w:szCs w:val="22"/>
        </w:rPr>
        <w:t>Ing.</w:t>
      </w:r>
      <w:r w:rsidR="00D62FF7" w:rsidRPr="006A5F60">
        <w:rPr>
          <w:sz w:val="22"/>
          <w:szCs w:val="22"/>
        </w:rPr>
        <w:t xml:space="preserve"> </w:t>
      </w:r>
      <w:r w:rsidR="00D073D5" w:rsidRPr="006A5F60">
        <w:rPr>
          <w:sz w:val="22"/>
          <w:szCs w:val="22"/>
        </w:rPr>
        <w:t>Elena Chrenková Kušnírová</w:t>
      </w:r>
    </w:p>
    <w:p w14:paraId="64CFAEB7" w14:textId="5081B087" w:rsidR="00963D06" w:rsidRPr="006A5F60" w:rsidRDefault="00D073D5" w:rsidP="00CE2BC5">
      <w:pPr>
        <w:tabs>
          <w:tab w:val="left" w:pos="851"/>
        </w:tabs>
        <w:spacing w:before="80" w:line="276" w:lineRule="auto"/>
        <w:contextualSpacing/>
        <w:jc w:val="both"/>
        <w:rPr>
          <w:sz w:val="22"/>
          <w:szCs w:val="22"/>
        </w:rPr>
      </w:pPr>
      <w:r w:rsidRPr="006A5F60">
        <w:rPr>
          <w:sz w:val="22"/>
          <w:szCs w:val="22"/>
        </w:rPr>
        <w:t>vedúca oddelenia</w:t>
      </w:r>
      <w:r w:rsidR="00963D06" w:rsidRPr="006A5F60">
        <w:rPr>
          <w:sz w:val="22"/>
          <w:szCs w:val="22"/>
        </w:rPr>
        <w:t xml:space="preserve"> programovania</w:t>
      </w:r>
      <w:r w:rsidR="00724642" w:rsidRPr="006A5F60">
        <w:rPr>
          <w:sz w:val="22"/>
          <w:szCs w:val="22"/>
        </w:rPr>
        <w:t xml:space="preserve">, </w:t>
      </w:r>
      <w:r w:rsidR="00963D06" w:rsidRPr="006A5F60">
        <w:rPr>
          <w:sz w:val="22"/>
          <w:szCs w:val="22"/>
        </w:rPr>
        <w:t xml:space="preserve">odbor </w:t>
      </w:r>
      <w:r w:rsidR="00591479" w:rsidRPr="006A5F60">
        <w:rPr>
          <w:sz w:val="22"/>
          <w:szCs w:val="22"/>
        </w:rPr>
        <w:t>programovania a metodiky</w:t>
      </w:r>
    </w:p>
    <w:p w14:paraId="63F7C45E" w14:textId="77777777" w:rsidR="00591479" w:rsidRPr="006A5F60" w:rsidRDefault="00591479" w:rsidP="00CE2BC5">
      <w:pPr>
        <w:spacing w:line="276" w:lineRule="auto"/>
        <w:jc w:val="both"/>
        <w:rPr>
          <w:sz w:val="22"/>
          <w:szCs w:val="22"/>
        </w:rPr>
      </w:pPr>
      <w:r w:rsidRPr="006A5F60">
        <w:rPr>
          <w:sz w:val="22"/>
          <w:szCs w:val="22"/>
        </w:rPr>
        <w:t>Ministerstvo investícií, regionálneho rozvoja a informatizácie SR</w:t>
      </w:r>
    </w:p>
    <w:p w14:paraId="5DBE5BE2" w14:textId="77777777" w:rsidR="00DC06DD" w:rsidRPr="006A5F60" w:rsidRDefault="00DC06DD" w:rsidP="00CE2BC5">
      <w:pPr>
        <w:spacing w:before="80" w:line="276" w:lineRule="auto"/>
        <w:contextualSpacing/>
        <w:jc w:val="both"/>
        <w:rPr>
          <w:sz w:val="22"/>
          <w:szCs w:val="22"/>
        </w:rPr>
      </w:pPr>
      <w:r w:rsidRPr="006A5F60">
        <w:rPr>
          <w:sz w:val="22"/>
          <w:szCs w:val="22"/>
        </w:rPr>
        <w:t>Pribinova 25</w:t>
      </w:r>
    </w:p>
    <w:p w14:paraId="6AD7DE51" w14:textId="77777777" w:rsidR="00DC06DD" w:rsidRPr="006A5F60" w:rsidRDefault="00DC06DD" w:rsidP="00CE2BC5">
      <w:pPr>
        <w:spacing w:before="80" w:line="276" w:lineRule="auto"/>
        <w:contextualSpacing/>
        <w:jc w:val="both"/>
        <w:rPr>
          <w:sz w:val="22"/>
          <w:szCs w:val="22"/>
        </w:rPr>
      </w:pPr>
      <w:r w:rsidRPr="006A5F60">
        <w:rPr>
          <w:sz w:val="22"/>
          <w:szCs w:val="22"/>
        </w:rPr>
        <w:t>811 09  Bratislava</w:t>
      </w:r>
    </w:p>
    <w:p w14:paraId="1EC49907" w14:textId="3D055601" w:rsidR="009E7D6E" w:rsidRPr="006A5F60" w:rsidRDefault="00724642" w:rsidP="00CE2BC5">
      <w:pPr>
        <w:tabs>
          <w:tab w:val="left" w:pos="851"/>
        </w:tabs>
        <w:spacing w:before="80" w:line="276" w:lineRule="auto"/>
        <w:contextualSpacing/>
        <w:jc w:val="both"/>
        <w:rPr>
          <w:sz w:val="22"/>
          <w:szCs w:val="22"/>
        </w:rPr>
      </w:pPr>
      <w:r w:rsidRPr="006A5F60">
        <w:rPr>
          <w:sz w:val="22"/>
          <w:szCs w:val="22"/>
        </w:rPr>
        <w:t>T</w:t>
      </w:r>
      <w:r w:rsidR="009E7D6E" w:rsidRPr="006A5F60">
        <w:rPr>
          <w:sz w:val="22"/>
          <w:szCs w:val="22"/>
        </w:rPr>
        <w:t>el</w:t>
      </w:r>
      <w:r w:rsidRPr="006A5F60">
        <w:rPr>
          <w:sz w:val="22"/>
          <w:szCs w:val="22"/>
        </w:rPr>
        <w:t>.</w:t>
      </w:r>
      <w:r w:rsidR="009E7D6E" w:rsidRPr="006A5F60">
        <w:rPr>
          <w:sz w:val="22"/>
          <w:szCs w:val="22"/>
        </w:rPr>
        <w:t xml:space="preserve">: +421 2 </w:t>
      </w:r>
      <w:r w:rsidR="00591479" w:rsidRPr="006A5F60">
        <w:rPr>
          <w:sz w:val="22"/>
          <w:szCs w:val="22"/>
        </w:rPr>
        <w:t>2092</w:t>
      </w:r>
      <w:r w:rsidR="009E7D6E" w:rsidRPr="006A5F60">
        <w:rPr>
          <w:sz w:val="22"/>
          <w:szCs w:val="22"/>
        </w:rPr>
        <w:t xml:space="preserve"> </w:t>
      </w:r>
      <w:r w:rsidR="00591479" w:rsidRPr="006A5F60">
        <w:rPr>
          <w:sz w:val="22"/>
          <w:szCs w:val="22"/>
        </w:rPr>
        <w:t>86</w:t>
      </w:r>
      <w:r w:rsidR="00D073D5" w:rsidRPr="006A5F60">
        <w:rPr>
          <w:sz w:val="22"/>
          <w:szCs w:val="22"/>
        </w:rPr>
        <w:t>06</w:t>
      </w:r>
    </w:p>
    <w:p w14:paraId="772F5457" w14:textId="5DBDEF89" w:rsidR="009E7D6E" w:rsidRPr="006A5F60" w:rsidRDefault="009E7D6E" w:rsidP="00CE2BC5">
      <w:pPr>
        <w:spacing w:before="80" w:line="276" w:lineRule="auto"/>
        <w:contextualSpacing/>
        <w:jc w:val="both"/>
        <w:rPr>
          <w:sz w:val="22"/>
          <w:szCs w:val="22"/>
          <w:lang w:val="en-US"/>
        </w:rPr>
      </w:pPr>
      <w:r w:rsidRPr="006A5F60">
        <w:rPr>
          <w:sz w:val="22"/>
          <w:szCs w:val="22"/>
        </w:rPr>
        <w:t xml:space="preserve">e-mail: </w:t>
      </w:r>
      <w:hyperlink r:id="rId9" w:history="1">
        <w:r w:rsidR="00D073D5" w:rsidRPr="006A5F60">
          <w:rPr>
            <w:rStyle w:val="Hypertextovprepojenie"/>
            <w:sz w:val="22"/>
            <w:szCs w:val="22"/>
          </w:rPr>
          <w:t>elena.chrenkova.kusnirova@mirri.gov.sk</w:t>
        </w:r>
      </w:hyperlink>
      <w:r w:rsidRPr="006A5F60">
        <w:rPr>
          <w:sz w:val="22"/>
          <w:szCs w:val="22"/>
          <w:lang w:val="en-US"/>
        </w:rPr>
        <w:t xml:space="preserve"> </w:t>
      </w:r>
    </w:p>
    <w:p w14:paraId="030445DD" w14:textId="14BC3C94" w:rsidR="008F3949" w:rsidRPr="006A5F60" w:rsidRDefault="00724642" w:rsidP="00094181">
      <w:pPr>
        <w:spacing w:before="120" w:line="276" w:lineRule="auto"/>
        <w:ind w:left="567" w:hanging="210"/>
        <w:jc w:val="both"/>
        <w:rPr>
          <w:b/>
          <w:bCs/>
          <w:sz w:val="22"/>
          <w:szCs w:val="22"/>
        </w:rPr>
      </w:pPr>
      <w:r w:rsidRPr="006A5F60">
        <w:rPr>
          <w:b/>
          <w:bCs/>
          <w:sz w:val="22"/>
          <w:szCs w:val="22"/>
        </w:rPr>
        <w:t>6</w:t>
      </w:r>
      <w:r w:rsidR="0082329E" w:rsidRPr="006A5F60">
        <w:rPr>
          <w:b/>
          <w:bCs/>
          <w:sz w:val="22"/>
          <w:szCs w:val="22"/>
        </w:rPr>
        <w:t>.</w:t>
      </w:r>
      <w:r w:rsidR="0082329E" w:rsidRPr="006A5F60">
        <w:rPr>
          <w:b/>
          <w:bCs/>
          <w:sz w:val="22"/>
          <w:szCs w:val="22"/>
        </w:rPr>
        <w:tab/>
      </w:r>
      <w:r w:rsidR="008F3949" w:rsidRPr="006A5F60">
        <w:rPr>
          <w:b/>
          <w:bCs/>
          <w:sz w:val="22"/>
          <w:szCs w:val="22"/>
        </w:rPr>
        <w:t>Miesto a čas konzultácie</w:t>
      </w:r>
    </w:p>
    <w:p w14:paraId="46EF7239" w14:textId="519021C2" w:rsidR="009E7D6E" w:rsidRPr="006A5F60" w:rsidRDefault="00591479" w:rsidP="00CE2BC5">
      <w:pPr>
        <w:spacing w:before="80" w:line="276" w:lineRule="auto"/>
        <w:contextualSpacing/>
        <w:jc w:val="both"/>
        <w:rPr>
          <w:sz w:val="22"/>
          <w:szCs w:val="22"/>
        </w:rPr>
      </w:pPr>
      <w:r w:rsidRPr="006A5F60">
        <w:rPr>
          <w:sz w:val="22"/>
          <w:szCs w:val="22"/>
        </w:rPr>
        <w:t>Ministerstvo investícií, regionálneho rozvoja a informatizácie SR</w:t>
      </w:r>
      <w:r w:rsidR="009E7D6E" w:rsidRPr="006A5F60">
        <w:rPr>
          <w:sz w:val="22"/>
          <w:szCs w:val="22"/>
        </w:rPr>
        <w:t xml:space="preserve">, </w:t>
      </w:r>
      <w:r w:rsidR="00DC06DD" w:rsidRPr="006A5F60">
        <w:rPr>
          <w:sz w:val="22"/>
          <w:szCs w:val="22"/>
        </w:rPr>
        <w:t>Pribinova 25, Bratislava.</w:t>
      </w:r>
    </w:p>
    <w:p w14:paraId="25C44437" w14:textId="03F6A54B" w:rsidR="009E7D6E" w:rsidRPr="006A5F60" w:rsidRDefault="009E7D6E" w:rsidP="00CE2BC5">
      <w:pPr>
        <w:spacing w:before="80" w:line="276" w:lineRule="auto"/>
        <w:jc w:val="both"/>
        <w:rPr>
          <w:sz w:val="22"/>
          <w:szCs w:val="22"/>
        </w:rPr>
      </w:pPr>
      <w:r w:rsidRPr="006A5F60">
        <w:rPr>
          <w:sz w:val="22"/>
          <w:szCs w:val="22"/>
        </w:rPr>
        <w:t>Konzultovať vo veci zmeny posudzovaného strategického dokumentu s celoštátnym dosahom podľa § 63 ods. 1 zákona č. 24/2006 Z. z. o posudzovaní vplyvov na životné prostredie a o zmene a doplnení niektorých zákonov v znení neskorších p</w:t>
      </w:r>
      <w:r w:rsidR="00724642" w:rsidRPr="006A5F60">
        <w:rPr>
          <w:sz w:val="22"/>
          <w:szCs w:val="22"/>
        </w:rPr>
        <w:t>redpisov (ďalej len „zákon</w:t>
      </w:r>
      <w:r w:rsidR="00057B91" w:rsidRPr="006A5F60">
        <w:rPr>
          <w:sz w:val="22"/>
          <w:szCs w:val="22"/>
        </w:rPr>
        <w:t xml:space="preserve"> o EIA</w:t>
      </w:r>
      <w:r w:rsidR="00724642" w:rsidRPr="006A5F60">
        <w:rPr>
          <w:sz w:val="22"/>
          <w:szCs w:val="22"/>
        </w:rPr>
        <w:t>“) je </w:t>
      </w:r>
      <w:r w:rsidRPr="006A5F60">
        <w:rPr>
          <w:sz w:val="22"/>
          <w:szCs w:val="22"/>
        </w:rPr>
        <w:t xml:space="preserve">možné počas celého procesu posudzovania strategického dokumentu. </w:t>
      </w:r>
    </w:p>
    <w:p w14:paraId="59067191" w14:textId="4C640688" w:rsidR="009E7D6E" w:rsidRPr="006A5F60" w:rsidRDefault="009E7D6E" w:rsidP="00CE2BC5">
      <w:pPr>
        <w:tabs>
          <w:tab w:val="left" w:pos="709"/>
          <w:tab w:val="left" w:pos="851"/>
        </w:tabs>
        <w:spacing w:before="80" w:line="276" w:lineRule="auto"/>
        <w:jc w:val="both"/>
        <w:rPr>
          <w:sz w:val="22"/>
          <w:szCs w:val="22"/>
        </w:rPr>
      </w:pPr>
      <w:r w:rsidRPr="006A5F60">
        <w:rPr>
          <w:sz w:val="22"/>
          <w:szCs w:val="22"/>
        </w:rPr>
        <w:t>Čas konzultácií sa určí „prípad po prípade“ prostredníctvom kontaktnej osoby</w:t>
      </w:r>
      <w:r w:rsidR="00D1730B" w:rsidRPr="006A5F60">
        <w:rPr>
          <w:sz w:val="22"/>
          <w:szCs w:val="22"/>
        </w:rPr>
        <w:t xml:space="preserve"> </w:t>
      </w:r>
      <w:r w:rsidRPr="006A5F60">
        <w:rPr>
          <w:sz w:val="22"/>
          <w:szCs w:val="22"/>
        </w:rPr>
        <w:t xml:space="preserve">a podľa požiadavky a dohody subjektov, ktoré prejavia o konzultácie záujem. </w:t>
      </w:r>
    </w:p>
    <w:p w14:paraId="5A9AB8EF" w14:textId="7CB5825C" w:rsidR="004F695E" w:rsidRPr="006A5F60" w:rsidRDefault="004F695E" w:rsidP="00F510FE">
      <w:pPr>
        <w:widowControl/>
        <w:autoSpaceDE/>
        <w:autoSpaceDN/>
        <w:adjustRightInd/>
        <w:spacing w:after="200" w:line="276" w:lineRule="auto"/>
        <w:rPr>
          <w:sz w:val="22"/>
          <w:szCs w:val="22"/>
        </w:rPr>
      </w:pPr>
      <w:r w:rsidRPr="006A5F60">
        <w:rPr>
          <w:sz w:val="22"/>
          <w:szCs w:val="22"/>
        </w:rPr>
        <w:br w:type="page"/>
      </w:r>
    </w:p>
    <w:p w14:paraId="1345E709" w14:textId="77777777" w:rsidR="00E54ACB" w:rsidRPr="006A5F60" w:rsidRDefault="00E54ACB" w:rsidP="00F510FE">
      <w:pPr>
        <w:spacing w:before="120" w:line="276" w:lineRule="auto"/>
        <w:ind w:left="357" w:hanging="357"/>
        <w:rPr>
          <w:b/>
          <w:bCs/>
          <w:sz w:val="22"/>
          <w:szCs w:val="22"/>
        </w:rPr>
      </w:pPr>
      <w:r w:rsidRPr="006A5F60">
        <w:rPr>
          <w:b/>
          <w:bCs/>
          <w:sz w:val="22"/>
          <w:szCs w:val="22"/>
        </w:rPr>
        <w:lastRenderedPageBreak/>
        <w:t>II.</w:t>
      </w:r>
      <w:r w:rsidRPr="006A5F60">
        <w:rPr>
          <w:b/>
          <w:bCs/>
          <w:sz w:val="22"/>
          <w:szCs w:val="22"/>
        </w:rPr>
        <w:tab/>
        <w:t>Základné údaje o strategickom dokumente</w:t>
      </w:r>
    </w:p>
    <w:p w14:paraId="1E19CDCC" w14:textId="77777777" w:rsidR="00E54ACB" w:rsidRPr="006A5F60" w:rsidRDefault="00E54ACB" w:rsidP="00F510FE">
      <w:pPr>
        <w:spacing w:before="240" w:line="276" w:lineRule="auto"/>
        <w:ind w:left="567" w:hanging="210"/>
        <w:jc w:val="both"/>
        <w:rPr>
          <w:b/>
          <w:bCs/>
          <w:sz w:val="22"/>
          <w:szCs w:val="22"/>
        </w:rPr>
      </w:pPr>
      <w:r w:rsidRPr="006A5F60">
        <w:rPr>
          <w:b/>
          <w:bCs/>
          <w:sz w:val="22"/>
          <w:szCs w:val="22"/>
        </w:rPr>
        <w:t>1.</w:t>
      </w:r>
      <w:r w:rsidRPr="006A5F60">
        <w:rPr>
          <w:b/>
          <w:bCs/>
          <w:sz w:val="22"/>
          <w:szCs w:val="22"/>
        </w:rPr>
        <w:tab/>
        <w:t>Názov</w:t>
      </w:r>
    </w:p>
    <w:p w14:paraId="5EF8DF41" w14:textId="43D0BA73" w:rsidR="00E54ACB" w:rsidRPr="006A5F60" w:rsidRDefault="007708EA" w:rsidP="00AC1D1A">
      <w:pPr>
        <w:tabs>
          <w:tab w:val="left" w:pos="993"/>
        </w:tabs>
        <w:spacing w:before="120" w:line="276" w:lineRule="auto"/>
        <w:jc w:val="both"/>
        <w:rPr>
          <w:b/>
          <w:bCs/>
          <w:i/>
          <w:iCs/>
          <w:sz w:val="22"/>
          <w:szCs w:val="22"/>
        </w:rPr>
      </w:pPr>
      <w:r w:rsidRPr="006A5F60">
        <w:rPr>
          <w:b/>
          <w:bCs/>
          <w:i/>
          <w:iCs/>
          <w:sz w:val="22"/>
          <w:szCs w:val="22"/>
        </w:rPr>
        <w:t>Integrovan</w:t>
      </w:r>
      <w:r w:rsidR="00094181" w:rsidRPr="006A5F60">
        <w:rPr>
          <w:b/>
          <w:bCs/>
          <w:i/>
          <w:iCs/>
          <w:sz w:val="22"/>
          <w:szCs w:val="22"/>
        </w:rPr>
        <w:t>ý</w:t>
      </w:r>
      <w:r w:rsidRPr="006A5F60">
        <w:rPr>
          <w:b/>
          <w:bCs/>
          <w:i/>
          <w:iCs/>
          <w:sz w:val="22"/>
          <w:szCs w:val="22"/>
        </w:rPr>
        <w:t xml:space="preserve"> reg</w:t>
      </w:r>
      <w:r w:rsidR="008F3949" w:rsidRPr="006A5F60">
        <w:rPr>
          <w:b/>
          <w:bCs/>
          <w:i/>
          <w:iCs/>
          <w:sz w:val="22"/>
          <w:szCs w:val="22"/>
        </w:rPr>
        <w:t>ionáln</w:t>
      </w:r>
      <w:r w:rsidR="00094181" w:rsidRPr="006A5F60">
        <w:rPr>
          <w:b/>
          <w:bCs/>
          <w:i/>
          <w:iCs/>
          <w:sz w:val="22"/>
          <w:szCs w:val="22"/>
        </w:rPr>
        <w:t>y</w:t>
      </w:r>
      <w:r w:rsidR="008F3949" w:rsidRPr="006A5F60">
        <w:rPr>
          <w:b/>
          <w:bCs/>
          <w:i/>
          <w:iCs/>
          <w:sz w:val="22"/>
          <w:szCs w:val="22"/>
        </w:rPr>
        <w:t xml:space="preserve"> operačn</w:t>
      </w:r>
      <w:r w:rsidR="00094181" w:rsidRPr="006A5F60">
        <w:rPr>
          <w:b/>
          <w:bCs/>
          <w:i/>
          <w:iCs/>
          <w:sz w:val="22"/>
          <w:szCs w:val="22"/>
        </w:rPr>
        <w:t>ý</w:t>
      </w:r>
      <w:r w:rsidRPr="006A5F60">
        <w:rPr>
          <w:b/>
          <w:bCs/>
          <w:i/>
          <w:iCs/>
          <w:sz w:val="22"/>
          <w:szCs w:val="22"/>
        </w:rPr>
        <w:t xml:space="preserve"> program </w:t>
      </w:r>
      <w:r w:rsidR="008F3949" w:rsidRPr="006A5F60">
        <w:rPr>
          <w:b/>
          <w:bCs/>
          <w:i/>
          <w:iCs/>
          <w:sz w:val="22"/>
          <w:szCs w:val="22"/>
        </w:rPr>
        <w:t xml:space="preserve">2014 – 2020, verzia </w:t>
      </w:r>
      <w:r w:rsidR="00E90E4B" w:rsidRPr="006A5F60">
        <w:rPr>
          <w:b/>
          <w:bCs/>
          <w:i/>
          <w:iCs/>
          <w:sz w:val="22"/>
          <w:szCs w:val="22"/>
        </w:rPr>
        <w:t>14</w:t>
      </w:r>
      <w:r w:rsidR="00072B20" w:rsidRPr="006A5F60">
        <w:rPr>
          <w:b/>
          <w:bCs/>
          <w:i/>
          <w:iCs/>
          <w:sz w:val="22"/>
          <w:szCs w:val="22"/>
        </w:rPr>
        <w:t>.0</w:t>
      </w:r>
    </w:p>
    <w:p w14:paraId="7BAD46F9" w14:textId="77777777" w:rsidR="00E54ACB" w:rsidRPr="006A5F60" w:rsidRDefault="00E54ACB" w:rsidP="00F510FE">
      <w:pPr>
        <w:spacing w:before="240" w:line="276" w:lineRule="auto"/>
        <w:ind w:left="567" w:hanging="210"/>
        <w:jc w:val="both"/>
        <w:rPr>
          <w:b/>
          <w:bCs/>
          <w:sz w:val="22"/>
          <w:szCs w:val="22"/>
        </w:rPr>
      </w:pPr>
      <w:r w:rsidRPr="006A5F60">
        <w:rPr>
          <w:b/>
          <w:bCs/>
          <w:sz w:val="22"/>
          <w:szCs w:val="22"/>
        </w:rPr>
        <w:t>2.</w:t>
      </w:r>
      <w:r w:rsidRPr="006A5F60">
        <w:rPr>
          <w:b/>
          <w:bCs/>
          <w:sz w:val="22"/>
          <w:szCs w:val="22"/>
        </w:rPr>
        <w:tab/>
        <w:t>Charakter</w:t>
      </w:r>
    </w:p>
    <w:p w14:paraId="35C50E0B" w14:textId="287DE443" w:rsidR="00E974BC" w:rsidRPr="006A5F60" w:rsidRDefault="007708EA" w:rsidP="00AC1D1A">
      <w:pPr>
        <w:spacing w:before="120" w:line="276" w:lineRule="auto"/>
        <w:jc w:val="both"/>
        <w:rPr>
          <w:sz w:val="22"/>
          <w:szCs w:val="22"/>
        </w:rPr>
      </w:pPr>
      <w:r w:rsidRPr="006A5F60">
        <w:rPr>
          <w:sz w:val="22"/>
          <w:szCs w:val="22"/>
        </w:rPr>
        <w:t>Integrovaný regionálny operačný program (ďalej len „IROP“)</w:t>
      </w:r>
      <w:r w:rsidR="00E54ACB" w:rsidRPr="006A5F60">
        <w:rPr>
          <w:sz w:val="22"/>
          <w:szCs w:val="22"/>
        </w:rPr>
        <w:t xml:space="preserve"> predstavuje strednodobý strategický dokument určujúci základné rámce a prioritné oblasti pre </w:t>
      </w:r>
      <w:r w:rsidRPr="006A5F60">
        <w:rPr>
          <w:sz w:val="22"/>
          <w:szCs w:val="22"/>
        </w:rPr>
        <w:t>regionálny rozvoj SR</w:t>
      </w:r>
      <w:r w:rsidR="00724642" w:rsidRPr="006A5F60">
        <w:rPr>
          <w:sz w:val="22"/>
          <w:szCs w:val="22"/>
        </w:rPr>
        <w:t xml:space="preserve"> v </w:t>
      </w:r>
      <w:r w:rsidR="004835E8" w:rsidRPr="006A5F60">
        <w:rPr>
          <w:sz w:val="22"/>
          <w:szCs w:val="22"/>
        </w:rPr>
        <w:t xml:space="preserve">programovom období </w:t>
      </w:r>
      <w:r w:rsidR="00E54ACB" w:rsidRPr="006A5F60">
        <w:rPr>
          <w:sz w:val="22"/>
          <w:szCs w:val="22"/>
        </w:rPr>
        <w:t>2014</w:t>
      </w:r>
      <w:r w:rsidR="004835E8" w:rsidRPr="006A5F60">
        <w:rPr>
          <w:sz w:val="22"/>
          <w:szCs w:val="22"/>
        </w:rPr>
        <w:t xml:space="preserve"> </w:t>
      </w:r>
      <w:r w:rsidR="00E54ACB" w:rsidRPr="006A5F60">
        <w:rPr>
          <w:sz w:val="22"/>
          <w:szCs w:val="22"/>
        </w:rPr>
        <w:t>-</w:t>
      </w:r>
      <w:r w:rsidR="004835E8" w:rsidRPr="006A5F60">
        <w:rPr>
          <w:sz w:val="22"/>
          <w:szCs w:val="22"/>
        </w:rPr>
        <w:t xml:space="preserve"> </w:t>
      </w:r>
      <w:r w:rsidR="00E54ACB" w:rsidRPr="006A5F60">
        <w:rPr>
          <w:sz w:val="22"/>
          <w:szCs w:val="22"/>
        </w:rPr>
        <w:t xml:space="preserve">2020. </w:t>
      </w:r>
      <w:r w:rsidR="00E974BC" w:rsidRPr="006A5F60">
        <w:rPr>
          <w:sz w:val="22"/>
          <w:szCs w:val="22"/>
        </w:rPr>
        <w:t xml:space="preserve">IROP bol schválený </w:t>
      </w:r>
      <w:r w:rsidR="005D3F30" w:rsidRPr="006A5F60">
        <w:rPr>
          <w:sz w:val="22"/>
          <w:szCs w:val="22"/>
        </w:rPr>
        <w:t xml:space="preserve">vykonávacím rozhodnutím </w:t>
      </w:r>
      <w:r w:rsidR="005D3F30" w:rsidRPr="006A5F60">
        <w:rPr>
          <w:spacing w:val="-2"/>
          <w:sz w:val="22"/>
          <w:szCs w:val="22"/>
        </w:rPr>
        <w:t>Európskej komisie C(2014)</w:t>
      </w:r>
      <w:r w:rsidR="00393026" w:rsidRPr="006A5F60">
        <w:rPr>
          <w:spacing w:val="-2"/>
          <w:sz w:val="22"/>
          <w:szCs w:val="22"/>
        </w:rPr>
        <w:t xml:space="preserve"> 10182 zo dňa 18. decembra 2014. Riad</w:t>
      </w:r>
      <w:r w:rsidR="00EB2F61" w:rsidRPr="006A5F60">
        <w:rPr>
          <w:spacing w:val="-2"/>
          <w:sz w:val="22"/>
          <w:szCs w:val="22"/>
        </w:rPr>
        <w:t>iacim orgánom pre </w:t>
      </w:r>
      <w:r w:rsidR="00393026" w:rsidRPr="006A5F60">
        <w:rPr>
          <w:spacing w:val="-2"/>
          <w:sz w:val="22"/>
          <w:szCs w:val="22"/>
        </w:rPr>
        <w:t>IROP</w:t>
      </w:r>
      <w:r w:rsidR="004835E8" w:rsidRPr="006A5F60">
        <w:rPr>
          <w:sz w:val="22"/>
          <w:szCs w:val="22"/>
        </w:rPr>
        <w:t xml:space="preserve"> zodpovedným za prípravu a implementáciu </w:t>
      </w:r>
      <w:r w:rsidR="00393026" w:rsidRPr="006A5F60">
        <w:rPr>
          <w:sz w:val="22"/>
          <w:szCs w:val="22"/>
        </w:rPr>
        <w:t xml:space="preserve">je Ministerstvo </w:t>
      </w:r>
      <w:r w:rsidR="00591479" w:rsidRPr="006A5F60">
        <w:rPr>
          <w:sz w:val="22"/>
          <w:szCs w:val="22"/>
        </w:rPr>
        <w:t xml:space="preserve">investícií, regionálneho rozvoja a informatizácie </w:t>
      </w:r>
      <w:r w:rsidR="00393026" w:rsidRPr="006A5F60">
        <w:rPr>
          <w:sz w:val="22"/>
          <w:szCs w:val="22"/>
        </w:rPr>
        <w:t>SR</w:t>
      </w:r>
      <w:r w:rsidR="00D82DDA" w:rsidRPr="006A5F60">
        <w:rPr>
          <w:sz w:val="22"/>
          <w:szCs w:val="22"/>
        </w:rPr>
        <w:t xml:space="preserve"> (ďalej len „</w:t>
      </w:r>
      <w:r w:rsidR="00591479" w:rsidRPr="006A5F60">
        <w:rPr>
          <w:sz w:val="22"/>
          <w:szCs w:val="22"/>
        </w:rPr>
        <w:t>MIRRI</w:t>
      </w:r>
      <w:r w:rsidR="00D82DDA" w:rsidRPr="006A5F60">
        <w:rPr>
          <w:sz w:val="22"/>
          <w:szCs w:val="22"/>
        </w:rPr>
        <w:t xml:space="preserve"> SR“)</w:t>
      </w:r>
      <w:r w:rsidR="002258C1" w:rsidRPr="006A5F60">
        <w:rPr>
          <w:sz w:val="22"/>
          <w:szCs w:val="22"/>
        </w:rPr>
        <w:t>.</w:t>
      </w:r>
      <w:r w:rsidR="0009126A" w:rsidRPr="006A5F60">
        <w:rPr>
          <w:sz w:val="22"/>
          <w:szCs w:val="22"/>
        </w:rPr>
        <w:t xml:space="preserve"> Funkciu sprostredkovateľských orgánov pre IROP vykonávajú Ministerstvo kultúry SR, Ministerstvo zdravotníctva SR, 7 vyšších územných celkov a 8 krajských miest.</w:t>
      </w:r>
    </w:p>
    <w:p w14:paraId="747D7636" w14:textId="77777777" w:rsidR="00561306" w:rsidRPr="006A5F60" w:rsidRDefault="00561306" w:rsidP="00AC1D1A">
      <w:pPr>
        <w:spacing w:before="120" w:line="276" w:lineRule="auto"/>
        <w:jc w:val="both"/>
        <w:rPr>
          <w:sz w:val="22"/>
          <w:szCs w:val="22"/>
        </w:rPr>
      </w:pPr>
      <w:r w:rsidRPr="006A5F60">
        <w:rPr>
          <w:sz w:val="22"/>
          <w:szCs w:val="22"/>
        </w:rPr>
        <w:t>Posudzovanie vplyvov IROP na životné prostredie Riadiaci orgán pre IROP (ďalej len „RO pre IROP“) – MIRRI SR zabezpečoval v spolupráci s Ministerstvom životného prostredia SR (ďalej len „MŽP SR“) podľa smernice Európskeho parlamentu a Rady 2001/42/ES z 27. júna 2001 o posudzovaní vplyvov určitých plánov a programov na životné prostredie a podľa zákona č. 24/2006 Z. z. o posudzovaní vplyvov na životné prostredie a o zmene a doplnení niektorých zákonov v znení neskorších predpisov (ďalej „zákon č. 24/2006 Z. z.“). Proces posudzovania vplyvov IROP na životné</w:t>
      </w:r>
      <w:r w:rsidRPr="006A5F60">
        <w:rPr>
          <w:spacing w:val="-2"/>
          <w:sz w:val="22"/>
          <w:szCs w:val="22"/>
        </w:rPr>
        <w:t xml:space="preserve"> prostredie bol </w:t>
      </w:r>
      <w:r w:rsidRPr="006A5F60">
        <w:rPr>
          <w:sz w:val="22"/>
          <w:szCs w:val="22"/>
        </w:rPr>
        <w:t>zverejnený na webových sídlach MIRRI SR a MŽP SR. Na základe výsledku procesu posudzovania vplyvov IROP na životné prostredie podľa ustanovení zákona a Smernice 2001/42/ES Európskeho parlamentu a Rady z 27. júna 2001 MŽP SR vydalo dňa 12.05.2014 stanovisko (číslo: 3000/2024-3.4/</w:t>
      </w:r>
      <w:proofErr w:type="spellStart"/>
      <w:r w:rsidRPr="006A5F60">
        <w:rPr>
          <w:sz w:val="22"/>
          <w:szCs w:val="22"/>
        </w:rPr>
        <w:t>zk</w:t>
      </w:r>
      <w:proofErr w:type="spellEnd"/>
      <w:r w:rsidRPr="006A5F60">
        <w:rPr>
          <w:sz w:val="22"/>
          <w:szCs w:val="22"/>
        </w:rPr>
        <w:t>), v ktorom odporučilo prijať strategický dokument s celoštátnym dosahom „Integrovaný regionálny operačný program 2014-2020“.</w:t>
      </w:r>
    </w:p>
    <w:p w14:paraId="14156F31" w14:textId="20CFFF61" w:rsidR="00D82DDA" w:rsidRPr="006A5F60" w:rsidRDefault="00D82DDA" w:rsidP="00AC1D1A">
      <w:pPr>
        <w:spacing w:before="120" w:line="276" w:lineRule="auto"/>
        <w:jc w:val="both"/>
        <w:rPr>
          <w:sz w:val="22"/>
          <w:szCs w:val="22"/>
        </w:rPr>
      </w:pPr>
      <w:r w:rsidRPr="006A5F60">
        <w:rPr>
          <w:sz w:val="22"/>
          <w:szCs w:val="22"/>
        </w:rPr>
        <w:t>V súlade s čl. 30 Nariadeni</w:t>
      </w:r>
      <w:r w:rsidR="00171C1A" w:rsidRPr="006A5F60">
        <w:rPr>
          <w:sz w:val="22"/>
          <w:szCs w:val="22"/>
        </w:rPr>
        <w:t>a</w:t>
      </w:r>
      <w:r w:rsidRPr="006A5F60">
        <w:rPr>
          <w:sz w:val="22"/>
          <w:szCs w:val="22"/>
        </w:rPr>
        <w:t xml:space="preserve"> Európ</w:t>
      </w:r>
      <w:r w:rsidR="00724642" w:rsidRPr="006A5F60">
        <w:rPr>
          <w:sz w:val="22"/>
          <w:szCs w:val="22"/>
        </w:rPr>
        <w:t>skeho parlamentu a Rady (EÚ) č. </w:t>
      </w:r>
      <w:r w:rsidRPr="006A5F60">
        <w:rPr>
          <w:sz w:val="22"/>
          <w:szCs w:val="22"/>
        </w:rPr>
        <w:t>1303/2013, ktorým sa stanovuje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w:t>
      </w:r>
      <w:r w:rsidR="004A2AA3" w:rsidRPr="006A5F60">
        <w:rPr>
          <w:sz w:val="22"/>
          <w:szCs w:val="22"/>
        </w:rPr>
        <w:t>iadenie Rady (ES) č. 1083/2006) (ďalej len „všeobecné nariadenie</w:t>
      </w:r>
      <w:r w:rsidR="00171C1A" w:rsidRPr="006A5F60">
        <w:rPr>
          <w:sz w:val="22"/>
          <w:szCs w:val="22"/>
        </w:rPr>
        <w:t>“</w:t>
      </w:r>
      <w:r w:rsidR="004A2AA3" w:rsidRPr="006A5F60">
        <w:rPr>
          <w:sz w:val="22"/>
          <w:szCs w:val="22"/>
        </w:rPr>
        <w:t xml:space="preserve">) </w:t>
      </w:r>
      <w:r w:rsidRPr="006A5F60">
        <w:rPr>
          <w:sz w:val="22"/>
          <w:szCs w:val="22"/>
        </w:rPr>
        <w:t>má RO právo navrhnúť zmenu operačného programu. Žiadosť o zmen</w:t>
      </w:r>
      <w:r w:rsidR="0082329E" w:rsidRPr="006A5F60">
        <w:rPr>
          <w:sz w:val="22"/>
          <w:szCs w:val="22"/>
        </w:rPr>
        <w:t>y</w:t>
      </w:r>
      <w:r w:rsidRPr="006A5F60">
        <w:rPr>
          <w:sz w:val="22"/>
          <w:szCs w:val="22"/>
        </w:rPr>
        <w:t xml:space="preserve"> </w:t>
      </w:r>
      <w:r w:rsidR="0082329E" w:rsidRPr="006A5F60">
        <w:rPr>
          <w:sz w:val="22"/>
          <w:szCs w:val="22"/>
        </w:rPr>
        <w:t>programov musia byť riadne odôvodnené</w:t>
      </w:r>
      <w:r w:rsidRPr="006A5F60">
        <w:rPr>
          <w:sz w:val="22"/>
          <w:szCs w:val="22"/>
        </w:rPr>
        <w:t xml:space="preserve"> a </w:t>
      </w:r>
      <w:r w:rsidR="0082329E" w:rsidRPr="006A5F60">
        <w:rPr>
          <w:sz w:val="22"/>
          <w:szCs w:val="22"/>
        </w:rPr>
        <w:t>musia</w:t>
      </w:r>
      <w:r w:rsidRPr="006A5F60">
        <w:rPr>
          <w:sz w:val="22"/>
          <w:szCs w:val="22"/>
        </w:rPr>
        <w:t xml:space="preserve"> obsahovať najmä opis očaká</w:t>
      </w:r>
      <w:r w:rsidR="00CC339B" w:rsidRPr="006A5F60">
        <w:rPr>
          <w:sz w:val="22"/>
          <w:szCs w:val="22"/>
        </w:rPr>
        <w:t>vaného dosahu zmien programu na </w:t>
      </w:r>
      <w:r w:rsidRPr="006A5F60">
        <w:rPr>
          <w:sz w:val="22"/>
          <w:szCs w:val="22"/>
        </w:rPr>
        <w:t>naplnenie stratégie Únie na zabezpečenie inteligentného, udržateľného a </w:t>
      </w:r>
      <w:proofErr w:type="spellStart"/>
      <w:r w:rsidRPr="006A5F60">
        <w:rPr>
          <w:sz w:val="22"/>
          <w:szCs w:val="22"/>
        </w:rPr>
        <w:t>inkluzívneho</w:t>
      </w:r>
      <w:proofErr w:type="spellEnd"/>
      <w:r w:rsidRPr="006A5F60">
        <w:rPr>
          <w:sz w:val="22"/>
          <w:szCs w:val="22"/>
        </w:rPr>
        <w:t xml:space="preserve"> rastu a </w:t>
      </w:r>
      <w:r w:rsidR="0082329E" w:rsidRPr="006A5F60">
        <w:rPr>
          <w:sz w:val="22"/>
          <w:szCs w:val="22"/>
        </w:rPr>
        <w:t>špecifických</w:t>
      </w:r>
      <w:r w:rsidRPr="006A5F60">
        <w:rPr>
          <w:sz w:val="22"/>
          <w:szCs w:val="22"/>
        </w:rPr>
        <w:t xml:space="preserve"> cieľov stanovených v</w:t>
      </w:r>
      <w:r w:rsidR="0082329E" w:rsidRPr="006A5F60">
        <w:rPr>
          <w:sz w:val="22"/>
          <w:szCs w:val="22"/>
        </w:rPr>
        <w:t xml:space="preserve"> operačnom </w:t>
      </w:r>
      <w:r w:rsidRPr="006A5F60">
        <w:rPr>
          <w:sz w:val="22"/>
          <w:szCs w:val="22"/>
        </w:rPr>
        <w:t xml:space="preserve">programe. </w:t>
      </w:r>
    </w:p>
    <w:p w14:paraId="46A57CF6" w14:textId="77777777" w:rsidR="003E6B14" w:rsidRPr="006A5F60" w:rsidRDefault="003E6B14" w:rsidP="003E6B14">
      <w:pPr>
        <w:spacing w:line="276" w:lineRule="auto"/>
        <w:ind w:left="567"/>
        <w:jc w:val="both"/>
        <w:rPr>
          <w:sz w:val="22"/>
          <w:szCs w:val="22"/>
        </w:rPr>
      </w:pPr>
    </w:p>
    <w:p w14:paraId="6A4CEB46" w14:textId="0D0C51CF" w:rsidR="00BC5308" w:rsidRPr="006A5F60" w:rsidRDefault="00BC5308" w:rsidP="00AC1D1A">
      <w:pPr>
        <w:spacing w:line="276" w:lineRule="auto"/>
        <w:jc w:val="both"/>
        <w:rPr>
          <w:sz w:val="22"/>
          <w:szCs w:val="22"/>
        </w:rPr>
      </w:pPr>
      <w:r w:rsidRPr="006A5F60">
        <w:rPr>
          <w:sz w:val="22"/>
          <w:szCs w:val="22"/>
        </w:rPr>
        <w:t xml:space="preserve">Predmetom zmeny </w:t>
      </w:r>
      <w:r w:rsidR="008B3CCA" w:rsidRPr="006A5F60">
        <w:rPr>
          <w:sz w:val="22"/>
          <w:szCs w:val="22"/>
        </w:rPr>
        <w:t xml:space="preserve">IROP, verzia </w:t>
      </w:r>
      <w:r w:rsidR="007D6EA2" w:rsidRPr="006A5F60">
        <w:rPr>
          <w:sz w:val="22"/>
          <w:szCs w:val="22"/>
        </w:rPr>
        <w:t>14</w:t>
      </w:r>
      <w:r w:rsidR="008B3CCA" w:rsidRPr="006A5F60">
        <w:rPr>
          <w:sz w:val="22"/>
          <w:szCs w:val="22"/>
        </w:rPr>
        <w:t xml:space="preserve">.0 </w:t>
      </w:r>
      <w:r w:rsidRPr="006A5F60">
        <w:rPr>
          <w:sz w:val="22"/>
          <w:szCs w:val="22"/>
        </w:rPr>
        <w:t xml:space="preserve">je predovšetkým vytvorenie novej prioritnej osi s názvom „Prioritná os </w:t>
      </w:r>
      <w:r w:rsidR="007D6EA2" w:rsidRPr="006A5F60">
        <w:rPr>
          <w:sz w:val="22"/>
          <w:szCs w:val="22"/>
        </w:rPr>
        <w:t>10</w:t>
      </w:r>
      <w:r w:rsidRPr="006A5F60">
        <w:rPr>
          <w:sz w:val="22"/>
          <w:szCs w:val="22"/>
        </w:rPr>
        <w:t xml:space="preserve"> –</w:t>
      </w:r>
      <w:r w:rsidR="007D6EA2" w:rsidRPr="006A5F60">
        <w:rPr>
          <w:sz w:val="22"/>
          <w:szCs w:val="22"/>
        </w:rPr>
        <w:t xml:space="preserve"> Podpora pre zmiernenie dôsledkov energetickej krízy – SAFE </w:t>
      </w:r>
      <w:r w:rsidRPr="006A5F60">
        <w:rPr>
          <w:sz w:val="22"/>
          <w:szCs w:val="22"/>
        </w:rPr>
        <w:t>a úprava finančného rámca IROP formou interných presunov.</w:t>
      </w:r>
      <w:r w:rsidR="003E6B14" w:rsidRPr="006A5F60">
        <w:rPr>
          <w:sz w:val="22"/>
          <w:szCs w:val="22"/>
        </w:rPr>
        <w:t xml:space="preserve"> </w:t>
      </w:r>
      <w:r w:rsidRPr="006A5F60">
        <w:rPr>
          <w:sz w:val="22"/>
          <w:szCs w:val="22"/>
        </w:rPr>
        <w:t>Cieľom týchto zmien a doplnení v IROP je zabezpečiť maximálne využitie disponibilných zdrojov európskych štruk</w:t>
      </w:r>
      <w:r w:rsidR="007D6EA2" w:rsidRPr="006A5F60">
        <w:rPr>
          <w:sz w:val="22"/>
          <w:szCs w:val="22"/>
        </w:rPr>
        <w:t xml:space="preserve">turálnych a investičných fondov. </w:t>
      </w:r>
    </w:p>
    <w:p w14:paraId="2CAB39AF" w14:textId="10B48D6A" w:rsidR="007D6EA2" w:rsidRPr="006A5F60" w:rsidRDefault="007D6EA2" w:rsidP="00AC1D1A">
      <w:pPr>
        <w:spacing w:line="276" w:lineRule="auto"/>
        <w:jc w:val="both"/>
        <w:rPr>
          <w:sz w:val="22"/>
          <w:szCs w:val="22"/>
        </w:rPr>
      </w:pPr>
    </w:p>
    <w:p w14:paraId="2F55FD38" w14:textId="7AFA7F67" w:rsidR="00E54ACB" w:rsidRPr="006A5F60" w:rsidRDefault="00E54ACB" w:rsidP="00F039E3">
      <w:pPr>
        <w:spacing w:before="240" w:line="276" w:lineRule="auto"/>
        <w:ind w:left="567" w:hanging="210"/>
        <w:jc w:val="both"/>
        <w:rPr>
          <w:b/>
          <w:bCs/>
          <w:sz w:val="22"/>
          <w:szCs w:val="22"/>
        </w:rPr>
      </w:pPr>
      <w:r w:rsidRPr="006A5F60">
        <w:rPr>
          <w:b/>
          <w:bCs/>
          <w:sz w:val="22"/>
          <w:szCs w:val="22"/>
        </w:rPr>
        <w:t>3.</w:t>
      </w:r>
      <w:r w:rsidRPr="006A5F60">
        <w:rPr>
          <w:b/>
          <w:bCs/>
          <w:sz w:val="22"/>
          <w:szCs w:val="22"/>
        </w:rPr>
        <w:tab/>
        <w:t>Hlavné ciele</w:t>
      </w:r>
    </w:p>
    <w:p w14:paraId="002140B6" w14:textId="5DAFC791" w:rsidR="00230B90" w:rsidRPr="006A5F60" w:rsidRDefault="00C63DE7" w:rsidP="00AC1D1A">
      <w:pPr>
        <w:spacing w:before="120" w:line="276" w:lineRule="auto"/>
        <w:jc w:val="both"/>
        <w:rPr>
          <w:sz w:val="22"/>
          <w:szCs w:val="22"/>
        </w:rPr>
      </w:pPr>
      <w:r w:rsidRPr="006A5F60">
        <w:rPr>
          <w:sz w:val="22"/>
          <w:szCs w:val="22"/>
        </w:rPr>
        <w:t>Cieľom návrh</w:t>
      </w:r>
      <w:r w:rsidR="00E501C8" w:rsidRPr="006A5F60">
        <w:rPr>
          <w:sz w:val="22"/>
          <w:szCs w:val="22"/>
        </w:rPr>
        <w:t>ov</w:t>
      </w:r>
      <w:r w:rsidRPr="006A5F60">
        <w:rPr>
          <w:sz w:val="22"/>
          <w:szCs w:val="22"/>
        </w:rPr>
        <w:t xml:space="preserve"> zmien IROP</w:t>
      </w:r>
      <w:r w:rsidR="00620548" w:rsidRPr="006A5F60">
        <w:rPr>
          <w:sz w:val="22"/>
          <w:szCs w:val="22"/>
        </w:rPr>
        <w:t xml:space="preserve"> je zabezpečiť </w:t>
      </w:r>
      <w:r w:rsidR="00591479" w:rsidRPr="006A5F60">
        <w:rPr>
          <w:sz w:val="22"/>
          <w:szCs w:val="22"/>
        </w:rPr>
        <w:t xml:space="preserve">efektívnu </w:t>
      </w:r>
      <w:r w:rsidR="00620548" w:rsidRPr="006A5F60">
        <w:rPr>
          <w:sz w:val="22"/>
          <w:szCs w:val="22"/>
        </w:rPr>
        <w:t xml:space="preserve">implementáciu IROP v súlade </w:t>
      </w:r>
      <w:r w:rsidR="00E501C8" w:rsidRPr="006A5F60">
        <w:rPr>
          <w:sz w:val="22"/>
          <w:szCs w:val="22"/>
        </w:rPr>
        <w:t xml:space="preserve">s legislatívou Európskej únie, SR a príslušnými národnými stratégiami. </w:t>
      </w:r>
    </w:p>
    <w:p w14:paraId="4C5F4063" w14:textId="77777777" w:rsidR="00711F1D" w:rsidRPr="006A5F60" w:rsidRDefault="00711F1D" w:rsidP="00AC1D1A">
      <w:pPr>
        <w:spacing w:before="120" w:line="276" w:lineRule="auto"/>
        <w:jc w:val="both"/>
        <w:rPr>
          <w:sz w:val="22"/>
          <w:szCs w:val="22"/>
        </w:rPr>
      </w:pPr>
      <w:r w:rsidRPr="006A5F60">
        <w:rPr>
          <w:sz w:val="22"/>
          <w:szCs w:val="22"/>
        </w:rPr>
        <w:t>Tým</w:t>
      </w:r>
      <w:r w:rsidR="00213CE7" w:rsidRPr="006A5F60">
        <w:rPr>
          <w:sz w:val="22"/>
          <w:szCs w:val="22"/>
        </w:rPr>
        <w:t>i</w:t>
      </w:r>
      <w:r w:rsidRPr="006A5F60">
        <w:rPr>
          <w:sz w:val="22"/>
          <w:szCs w:val="22"/>
        </w:rPr>
        <w:t>to zmenami strategického dokumentu nedochádza k zmene cieľov, ani stratégie IROP.</w:t>
      </w:r>
    </w:p>
    <w:p w14:paraId="17A77DCC" w14:textId="2E650C43" w:rsidR="00620548" w:rsidRPr="006A5F60" w:rsidRDefault="00620548" w:rsidP="00AC1D1A">
      <w:pPr>
        <w:spacing w:before="120" w:line="276" w:lineRule="auto"/>
        <w:jc w:val="both"/>
        <w:rPr>
          <w:sz w:val="22"/>
          <w:szCs w:val="22"/>
        </w:rPr>
      </w:pPr>
      <w:r w:rsidRPr="006A5F60">
        <w:rPr>
          <w:sz w:val="22"/>
          <w:szCs w:val="22"/>
        </w:rPr>
        <w:t>Ciele programu na naplnenie stratégie Únie na zabezpečenie inteligentného, udržateľného a </w:t>
      </w:r>
      <w:proofErr w:type="spellStart"/>
      <w:r w:rsidRPr="006A5F60">
        <w:rPr>
          <w:sz w:val="22"/>
          <w:szCs w:val="22"/>
        </w:rPr>
        <w:t>inkluzívneho</w:t>
      </w:r>
      <w:proofErr w:type="spellEnd"/>
      <w:r w:rsidRPr="006A5F60">
        <w:rPr>
          <w:sz w:val="22"/>
          <w:szCs w:val="22"/>
        </w:rPr>
        <w:t xml:space="preserve"> rastu a špecifických cieľov IROP</w:t>
      </w:r>
      <w:r w:rsidR="00591479" w:rsidRPr="006A5F60">
        <w:rPr>
          <w:sz w:val="22"/>
          <w:szCs w:val="22"/>
        </w:rPr>
        <w:t>, ktoré</w:t>
      </w:r>
      <w:r w:rsidRPr="006A5F60">
        <w:rPr>
          <w:sz w:val="22"/>
          <w:szCs w:val="22"/>
        </w:rPr>
        <w:t xml:space="preserve"> zostávajú taktiež bez zmeny. </w:t>
      </w:r>
    </w:p>
    <w:p w14:paraId="0F91B6AE" w14:textId="10CB94C0" w:rsidR="009C32B1" w:rsidRPr="006A5F60" w:rsidRDefault="009C32B1" w:rsidP="00F039E3">
      <w:pPr>
        <w:widowControl/>
        <w:tabs>
          <w:tab w:val="left" w:pos="993"/>
        </w:tabs>
        <w:autoSpaceDE/>
        <w:autoSpaceDN/>
        <w:adjustRightInd/>
        <w:spacing w:line="276" w:lineRule="auto"/>
        <w:ind w:left="993" w:hanging="426"/>
        <w:rPr>
          <w:b/>
          <w:bCs/>
          <w:sz w:val="22"/>
          <w:szCs w:val="22"/>
        </w:rPr>
      </w:pPr>
    </w:p>
    <w:p w14:paraId="6419F432" w14:textId="77777777" w:rsidR="00E54ACB" w:rsidRPr="006A5F60" w:rsidRDefault="00E54ACB" w:rsidP="00D66A79">
      <w:pPr>
        <w:spacing w:before="80" w:after="80" w:line="276" w:lineRule="auto"/>
        <w:ind w:left="567" w:hanging="210"/>
        <w:jc w:val="both"/>
        <w:rPr>
          <w:b/>
          <w:bCs/>
          <w:sz w:val="22"/>
          <w:szCs w:val="22"/>
        </w:rPr>
      </w:pPr>
      <w:r w:rsidRPr="006A5F60">
        <w:rPr>
          <w:b/>
          <w:bCs/>
          <w:sz w:val="22"/>
          <w:szCs w:val="22"/>
        </w:rPr>
        <w:t>4.</w:t>
      </w:r>
      <w:r w:rsidRPr="006A5F60">
        <w:rPr>
          <w:b/>
          <w:bCs/>
          <w:sz w:val="22"/>
          <w:szCs w:val="22"/>
        </w:rPr>
        <w:tab/>
        <w:t xml:space="preserve">Obsah </w:t>
      </w:r>
    </w:p>
    <w:p w14:paraId="051C5BBF" w14:textId="7CA8B7D6" w:rsidR="007A0CB7" w:rsidRPr="006A5F60" w:rsidRDefault="008B3CCA" w:rsidP="00AC1D1A">
      <w:pPr>
        <w:spacing w:before="80" w:after="80" w:line="276" w:lineRule="auto"/>
        <w:jc w:val="both"/>
        <w:rPr>
          <w:sz w:val="22"/>
          <w:szCs w:val="22"/>
        </w:rPr>
      </w:pPr>
      <w:r w:rsidRPr="006A5F60">
        <w:rPr>
          <w:sz w:val="22"/>
          <w:szCs w:val="22"/>
        </w:rPr>
        <w:t xml:space="preserve">RO pre IROP vykonal v rámci revízie IROP, verzia </w:t>
      </w:r>
      <w:r w:rsidR="007D6EA2" w:rsidRPr="006A5F60">
        <w:rPr>
          <w:sz w:val="22"/>
          <w:szCs w:val="22"/>
        </w:rPr>
        <w:t>14</w:t>
      </w:r>
      <w:r w:rsidRPr="006A5F60">
        <w:rPr>
          <w:sz w:val="22"/>
          <w:szCs w:val="22"/>
        </w:rPr>
        <w:t xml:space="preserve">.0 </w:t>
      </w:r>
      <w:r w:rsidR="007A0CB7" w:rsidRPr="006A5F60">
        <w:rPr>
          <w:sz w:val="22"/>
          <w:szCs w:val="22"/>
        </w:rPr>
        <w:t>nasledovné zmeny:</w:t>
      </w:r>
    </w:p>
    <w:p w14:paraId="513C408A" w14:textId="3B459835" w:rsidR="00AC1D1A" w:rsidRPr="006A5F60" w:rsidRDefault="00AC1D1A" w:rsidP="00AC1D1A">
      <w:pPr>
        <w:pStyle w:val="Textkomentra"/>
        <w:jc w:val="both"/>
        <w:rPr>
          <w:b/>
          <w:spacing w:val="2"/>
          <w:sz w:val="22"/>
          <w:szCs w:val="22"/>
          <w:highlight w:val="yellow"/>
        </w:rPr>
      </w:pPr>
    </w:p>
    <w:p w14:paraId="092A3061" w14:textId="77777777" w:rsidR="007D6EA2" w:rsidRPr="006A5F60" w:rsidRDefault="007D6EA2" w:rsidP="007D6EA2">
      <w:pPr>
        <w:pStyle w:val="Odsekzoznamu"/>
        <w:numPr>
          <w:ilvl w:val="0"/>
          <w:numId w:val="28"/>
        </w:numPr>
        <w:spacing w:before="120" w:after="0" w:line="300" w:lineRule="auto"/>
        <w:ind w:left="284" w:hanging="284"/>
        <w:contextualSpacing w:val="0"/>
        <w:jc w:val="both"/>
        <w:rPr>
          <w:rFonts w:ascii="Arial" w:eastAsia="Arial Narrow" w:hAnsi="Arial" w:cs="Arial"/>
          <w:spacing w:val="2"/>
          <w:lang w:eastAsia="sk-SK"/>
        </w:rPr>
      </w:pPr>
      <w:r w:rsidRPr="006A5F60">
        <w:rPr>
          <w:rFonts w:ascii="Arial" w:hAnsi="Arial" w:cs="Arial"/>
          <w:b/>
          <w:spacing w:val="2"/>
        </w:rPr>
        <w:t xml:space="preserve">Doplnenie novej prioritnej osí č. 10 SAFE </w:t>
      </w:r>
    </w:p>
    <w:p w14:paraId="328EBC4D" w14:textId="2FDCBEC3" w:rsidR="007D6EA2" w:rsidRPr="006A5F60" w:rsidRDefault="007D6EA2" w:rsidP="007D6EA2">
      <w:pPr>
        <w:spacing w:before="120" w:line="276" w:lineRule="auto"/>
        <w:jc w:val="both"/>
        <w:rPr>
          <w:rFonts w:eastAsia="Arial Narrow"/>
          <w:spacing w:val="2"/>
          <w:sz w:val="22"/>
          <w:szCs w:val="22"/>
        </w:rPr>
      </w:pPr>
      <w:r w:rsidRPr="006A5F60">
        <w:rPr>
          <w:rFonts w:eastAsia="Arial Narrow"/>
          <w:spacing w:val="2"/>
          <w:sz w:val="22"/>
          <w:szCs w:val="22"/>
        </w:rPr>
        <w:t>Predmetom zmeny IROP je vytvorenie prioritnej osi 10 – Podpora pre zmiernenie dôsledkov energetickej krízy – SAFE. Investície v danej prioritnej osi budú riešiť dôsledky energetickej krízy so zameraním na kompenzáciu zvýšených cien energií pre zraniteľné domácnosti, ktoré v rokoch 2022 - 2023 čelia inflačnému tlaku na rast životných nákladov. Prioritn</w:t>
      </w:r>
      <w:r w:rsidR="00F50ECB" w:rsidRPr="006A5F60">
        <w:rPr>
          <w:rFonts w:eastAsia="Arial Narrow"/>
          <w:spacing w:val="2"/>
          <w:sz w:val="22"/>
          <w:szCs w:val="22"/>
        </w:rPr>
        <w:t>á os 10 absorbuje alokácie voľných zdrojov</w:t>
      </w:r>
      <w:r w:rsidRPr="006A5F60">
        <w:rPr>
          <w:rFonts w:eastAsia="Arial Narrow"/>
          <w:spacing w:val="2"/>
          <w:sz w:val="22"/>
          <w:szCs w:val="22"/>
        </w:rPr>
        <w:t xml:space="preserve"> z prioritnej osi 7 – REACT EU.</w:t>
      </w:r>
    </w:p>
    <w:p w14:paraId="28DA9F41" w14:textId="42840342" w:rsidR="007D6EA2" w:rsidRPr="006A5F60" w:rsidRDefault="007D6EA2" w:rsidP="007D6EA2">
      <w:pPr>
        <w:spacing w:before="120" w:line="276" w:lineRule="auto"/>
        <w:jc w:val="both"/>
        <w:rPr>
          <w:rFonts w:eastAsia="Arial Narrow"/>
          <w:spacing w:val="2"/>
          <w:sz w:val="22"/>
          <w:szCs w:val="22"/>
        </w:rPr>
      </w:pPr>
      <w:r w:rsidRPr="006A5F60">
        <w:rPr>
          <w:rFonts w:eastAsia="Arial Narrow"/>
          <w:spacing w:val="2"/>
          <w:sz w:val="22"/>
          <w:szCs w:val="22"/>
        </w:rPr>
        <w:t xml:space="preserve">Predmetná zmena IROP tak reflektuje na národné potreby v čase energetickej krízy, ktorá vznikla jednak v dôsledku nepriaznivých vplyvov pandémie COVID-19 a neskôr aj vojenskej agresie Ruskej federácie proti Ukrajine. Súčasná energetická kríza negatívne zasiahla všetky členské štáty, vrátane Slovenskej republiky. Prudký nárast cien energií významne prispieva k celkovej inflácii v rámci ekonomiky členských štátov a spomaľuje ich hospodársky rast. EK zareagovala na vzniknutú situáciu návrhom právnej úpravy s cieľom poskytnúť ďalšiu flexibilitu využitia Európskych štrukturálnych a investičných fondov (EŠIF) v členských krajinách EÚ na zmiernenie negatívnych dôsledkov energetickej krízy. Predmetná právna úprava bola schválená a od 1. marca 2023 je účinné nariadenie Európskeho parlamentu a Rady (EÚ) 2023/435 z 27. februára 2023, ktorým sa mení nariadenie (EÚ) 2021/241, pokiaľ ide o kapitolu </w:t>
      </w:r>
      <w:proofErr w:type="spellStart"/>
      <w:r w:rsidRPr="006A5F60">
        <w:rPr>
          <w:rFonts w:eastAsia="Arial Narrow"/>
          <w:spacing w:val="2"/>
          <w:sz w:val="22"/>
          <w:szCs w:val="22"/>
        </w:rPr>
        <w:t>REPowerEU</w:t>
      </w:r>
      <w:proofErr w:type="spellEnd"/>
      <w:r w:rsidRPr="006A5F60">
        <w:rPr>
          <w:rFonts w:eastAsia="Arial Narrow"/>
          <w:spacing w:val="2"/>
          <w:sz w:val="22"/>
          <w:szCs w:val="22"/>
        </w:rPr>
        <w:t xml:space="preserve"> v plánoch obnovy a odolnosti, a ktorým sa menia nariadenia (EÚ) č. 1303/2013, (EÚ) 2021/1060 a (EÚ) 2021/1755 a smernica 2003/87/ES (ďalej „SAFE“). Nariadenie prináša nové flexibility, ktoré umožnia realizovať opatrenia na riešenie dôsledkov energetickej krízy zo zdrojov národnej alokácie EŠIF na programové obdobie 2014-2020, konkrétne umožňuje poskytnúť pomoc pri úhrade nákladov na spotrebu energie v prípade zraniteľných domácností.</w:t>
      </w:r>
    </w:p>
    <w:p w14:paraId="661C4CD0" w14:textId="57C453C6" w:rsidR="007D6EA2" w:rsidRPr="006A5F60" w:rsidRDefault="007D6EA2" w:rsidP="007D6EA2">
      <w:pPr>
        <w:spacing w:before="120" w:line="276" w:lineRule="auto"/>
        <w:jc w:val="both"/>
        <w:rPr>
          <w:rFonts w:eastAsia="Arial Narrow"/>
          <w:spacing w:val="2"/>
          <w:sz w:val="22"/>
          <w:szCs w:val="22"/>
        </w:rPr>
      </w:pPr>
      <w:r w:rsidRPr="006A5F60">
        <w:rPr>
          <w:rFonts w:eastAsia="Arial Narrow"/>
          <w:spacing w:val="2"/>
          <w:sz w:val="22"/>
          <w:szCs w:val="22"/>
        </w:rPr>
        <w:t>Na národnej úrovni bol dňa 14. decembra 2022 uznesením vlády SR č. 806/2022 schválený materiál „Návrh na riešenie dopadov energetickej krízy prostredníctvom EŠIF zdrojov programového obdobia 2014 – 2020 a rámec implementácie (SAFE-CARE)“ predložený MIRRI SR v spolupráci s Ministerstvom financií SR. Vláda SR bodom C.1. uložila vybraným ústredným orgánom vykonávajúcim funkciu riadiacich orgánov vykonať zmenu operačného programu v podobe presunu disponibilného zostatku zdrojov EÚ na podporu opatrení iniciatívy SAFE. Návrh zmeny IROP tak tvorí parciálnu časť horizontálneho procesu zmeny vybraných operačných programov SR financovaných z EŠIF, ktorý sa vykonáva v rámci mobilizácie zdrojov na riešenie dôsledkov energetickej krízy z národnej alokácie EŠIF 2014 - 2020.</w:t>
      </w:r>
    </w:p>
    <w:p w14:paraId="21CEBBD5" w14:textId="77777777" w:rsidR="00CE2BC5" w:rsidRPr="006A5F60" w:rsidRDefault="00CE2BC5" w:rsidP="007D6EA2">
      <w:pPr>
        <w:spacing w:before="120" w:line="276" w:lineRule="auto"/>
        <w:jc w:val="both"/>
        <w:rPr>
          <w:rFonts w:eastAsia="Arial Narrow"/>
          <w:spacing w:val="2"/>
          <w:sz w:val="22"/>
          <w:szCs w:val="22"/>
        </w:rPr>
      </w:pPr>
    </w:p>
    <w:p w14:paraId="4B5BEDDA" w14:textId="678C9F70" w:rsidR="007D6EA2" w:rsidRPr="006A5F60" w:rsidRDefault="007D6EA2" w:rsidP="007D6EA2">
      <w:pPr>
        <w:spacing w:line="276" w:lineRule="auto"/>
        <w:jc w:val="both"/>
        <w:rPr>
          <w:rFonts w:eastAsia="Arial Narrow"/>
          <w:spacing w:val="2"/>
          <w:sz w:val="22"/>
          <w:szCs w:val="22"/>
        </w:rPr>
      </w:pPr>
      <w:r w:rsidRPr="006A5F60">
        <w:rPr>
          <w:rFonts w:eastAsia="Arial Narrow"/>
          <w:spacing w:val="2"/>
          <w:sz w:val="22"/>
          <w:szCs w:val="22"/>
        </w:rPr>
        <w:t xml:space="preserve">Predmetným návrhom zmeny IROP dochádza k zmene v obsahovom zameraní operačného programu – vytvorením novej prioritnej osi za účelom riešenia energetickej krízy, ktoré vznikli v dôsledku ruskej agresie voči Ukrajine a ďalších externých faktorov. Pôvodné ciele IROP sa tak rozširujú o nový cieľ, ktorý je zameraný na kompenzáciu zvýšených nákladov na plyn s možnosťou prípadného rozšírenia aj na náklady za elektrinu pre zraniteľné domácnosti. Napriek navrhovaným presunom finančných prostriedkov nebude dotknuté naplnenie cieľov operačného programu. Ciele IROP na naplnenie stratégie Únie na zabezpečenie inteligentného, udržateľného a </w:t>
      </w:r>
      <w:proofErr w:type="spellStart"/>
      <w:r w:rsidRPr="006A5F60">
        <w:rPr>
          <w:rFonts w:eastAsia="Arial Narrow"/>
          <w:spacing w:val="2"/>
          <w:sz w:val="22"/>
          <w:szCs w:val="22"/>
        </w:rPr>
        <w:t>inkluzívneho</w:t>
      </w:r>
      <w:proofErr w:type="spellEnd"/>
      <w:r w:rsidRPr="006A5F60">
        <w:rPr>
          <w:rFonts w:eastAsia="Arial Narrow"/>
          <w:spacing w:val="2"/>
          <w:sz w:val="22"/>
          <w:szCs w:val="22"/>
        </w:rPr>
        <w:t xml:space="preserve"> rastu zostávajú bez zmeny. </w:t>
      </w:r>
    </w:p>
    <w:p w14:paraId="20C09AF7" w14:textId="77777777" w:rsidR="007D6EA2" w:rsidRPr="006A5F60" w:rsidRDefault="007D6EA2" w:rsidP="007D6EA2">
      <w:pPr>
        <w:pStyle w:val="Odsekzoznamu"/>
        <w:numPr>
          <w:ilvl w:val="0"/>
          <w:numId w:val="28"/>
        </w:numPr>
        <w:spacing w:before="120" w:after="0" w:line="300" w:lineRule="auto"/>
        <w:ind w:left="284" w:hanging="284"/>
        <w:contextualSpacing w:val="0"/>
        <w:jc w:val="both"/>
        <w:rPr>
          <w:rFonts w:ascii="Arial" w:hAnsi="Arial" w:cs="Arial"/>
          <w:b/>
          <w:spacing w:val="2"/>
        </w:rPr>
      </w:pPr>
      <w:r w:rsidRPr="006A5F60">
        <w:rPr>
          <w:rFonts w:ascii="Arial" w:hAnsi="Arial" w:cs="Arial"/>
          <w:b/>
          <w:spacing w:val="2"/>
        </w:rPr>
        <w:t xml:space="preserve">Presuny finančných prostriedkov v rámci prioritných osí a úprava finančného plánu IROP  </w:t>
      </w:r>
    </w:p>
    <w:p w14:paraId="1805B63F" w14:textId="77777777" w:rsidR="007D6EA2" w:rsidRPr="006A5F60" w:rsidRDefault="007D6EA2" w:rsidP="007D6EA2">
      <w:pPr>
        <w:spacing w:before="180" w:after="120" w:line="276" w:lineRule="auto"/>
        <w:jc w:val="both"/>
        <w:rPr>
          <w:rFonts w:eastAsia="Arial Narrow"/>
          <w:spacing w:val="2"/>
          <w:sz w:val="22"/>
          <w:szCs w:val="22"/>
        </w:rPr>
      </w:pPr>
      <w:r w:rsidRPr="006A5F60">
        <w:rPr>
          <w:rFonts w:eastAsia="Arial Narrow"/>
          <w:spacing w:val="2"/>
          <w:sz w:val="22"/>
          <w:szCs w:val="22"/>
        </w:rPr>
        <w:t xml:space="preserve">Za účelom zabezpečenia efektívnej implementácie operačného programu a včasnej prípravy na </w:t>
      </w:r>
      <w:r w:rsidRPr="006A5F60">
        <w:rPr>
          <w:rFonts w:eastAsia="Arial Narrow"/>
          <w:spacing w:val="2"/>
          <w:sz w:val="22"/>
          <w:szCs w:val="22"/>
        </w:rPr>
        <w:lastRenderedPageBreak/>
        <w:t>jeho ukončenie RO pre IROP realizuje zmeny finančného plánu prevodom finančných prostriedkov medzi prioritnými osami toho istého programu v rámci tej istej kategórie regiónu a toho istého fondu do 30. septembra 2023</w:t>
      </w:r>
      <w:r w:rsidRPr="006A5F60">
        <w:rPr>
          <w:rFonts w:eastAsia="Arial Narrow"/>
          <w:spacing w:val="2"/>
          <w:sz w:val="22"/>
          <w:szCs w:val="22"/>
          <w:vertAlign w:val="superscript"/>
        </w:rPr>
        <w:footnoteReference w:id="1"/>
      </w:r>
      <w:r w:rsidRPr="006A5F60">
        <w:rPr>
          <w:rFonts w:eastAsia="Arial Narrow"/>
          <w:spacing w:val="2"/>
          <w:sz w:val="22"/>
          <w:szCs w:val="22"/>
        </w:rPr>
        <w:t>. Snahou RO pre IROP je týmto pokryť požiadavky na alokácie jednotlivých prioritných osí a prípadné finančné odchýlky konečných zostatkov na konci programového obdobia vysporiadať predovšetkým flexibilitou platieb na každú prioritnú os za jednotlivé fondy a za jednotlivé kategórie regiónov</w:t>
      </w:r>
      <w:r w:rsidRPr="006A5F60">
        <w:rPr>
          <w:rFonts w:eastAsia="Arial Narrow"/>
          <w:spacing w:val="2"/>
          <w:sz w:val="22"/>
          <w:szCs w:val="22"/>
          <w:vertAlign w:val="superscript"/>
        </w:rPr>
        <w:footnoteReference w:id="2"/>
      </w:r>
      <w:r w:rsidRPr="006A5F60">
        <w:rPr>
          <w:rFonts w:eastAsia="Arial Narrow"/>
          <w:spacing w:val="2"/>
          <w:sz w:val="22"/>
          <w:szCs w:val="22"/>
        </w:rPr>
        <w:t>.</w:t>
      </w:r>
    </w:p>
    <w:p w14:paraId="2E2D516D" w14:textId="7BE8B0DD" w:rsidR="007D6EA2" w:rsidRPr="006A5F60" w:rsidRDefault="007D6EA2" w:rsidP="007D6EA2">
      <w:pPr>
        <w:spacing w:line="276" w:lineRule="auto"/>
        <w:jc w:val="both"/>
        <w:rPr>
          <w:rFonts w:eastAsia="Arial Narrow"/>
          <w:spacing w:val="2"/>
          <w:sz w:val="22"/>
          <w:szCs w:val="22"/>
        </w:rPr>
      </w:pPr>
      <w:r w:rsidRPr="006A5F60">
        <w:rPr>
          <w:rFonts w:eastAsia="Arial Narrow"/>
          <w:spacing w:val="2"/>
          <w:sz w:val="22"/>
          <w:szCs w:val="22"/>
        </w:rPr>
        <w:t xml:space="preserve">V rámci monitorovania operačného programu sme identifikovali projekty v rôznom stupni realizácie. V prípade </w:t>
      </w:r>
      <w:r w:rsidRPr="006A5F60">
        <w:rPr>
          <w:rFonts w:eastAsia="Arial Narrow"/>
          <w:b/>
          <w:spacing w:val="2"/>
          <w:sz w:val="22"/>
          <w:szCs w:val="22"/>
        </w:rPr>
        <w:t>prioritnej osi 2</w:t>
      </w:r>
      <w:r w:rsidRPr="006A5F60">
        <w:rPr>
          <w:rFonts w:eastAsia="Arial Narrow"/>
          <w:spacing w:val="2"/>
          <w:sz w:val="22"/>
          <w:szCs w:val="22"/>
        </w:rPr>
        <w:t xml:space="preserve"> aktuálne evidujeme 43 mimoriadne ukončených projektov</w:t>
      </w:r>
      <w:r w:rsidRPr="006A5F60">
        <w:rPr>
          <w:rStyle w:val="Odkaznapoznmkupodiarou"/>
          <w:rFonts w:eastAsia="Arial Narrow"/>
          <w:spacing w:val="2"/>
          <w:sz w:val="22"/>
          <w:szCs w:val="22"/>
        </w:rPr>
        <w:footnoteReference w:id="3"/>
      </w:r>
      <w:r w:rsidRPr="006A5F60">
        <w:rPr>
          <w:rFonts w:eastAsia="Arial Narrow"/>
          <w:spacing w:val="2"/>
          <w:sz w:val="22"/>
          <w:szCs w:val="22"/>
        </w:rPr>
        <w:t xml:space="preserve">, 60 vysoko rizikových projektov a 25 projektov s plánovaným odstúpením od zmluvy o NFP. Na základe týchto údajov eviduje potencionálne možné voľné zdroje v objeme 65,2 mil. Eur (zdroj EÚ) (vysoko rizikové projekty a projekty s plánovaným odstúpením od zmluvy o NFP). </w:t>
      </w:r>
    </w:p>
    <w:p w14:paraId="28D5FEAE" w14:textId="77777777" w:rsidR="00CE2BC5" w:rsidRPr="006A5F60" w:rsidRDefault="00CE2BC5" w:rsidP="007D6EA2">
      <w:pPr>
        <w:spacing w:line="276" w:lineRule="auto"/>
        <w:jc w:val="both"/>
        <w:rPr>
          <w:rFonts w:eastAsia="Arial Narrow"/>
          <w:spacing w:val="2"/>
          <w:sz w:val="22"/>
          <w:szCs w:val="22"/>
        </w:rPr>
      </w:pPr>
    </w:p>
    <w:p w14:paraId="1B998177" w14:textId="6C325895" w:rsidR="007D6EA2" w:rsidRPr="006A5F60" w:rsidRDefault="007D6EA2" w:rsidP="007D6EA2">
      <w:pPr>
        <w:spacing w:line="276" w:lineRule="auto"/>
        <w:jc w:val="both"/>
        <w:rPr>
          <w:rFonts w:eastAsia="Arial Narrow"/>
          <w:spacing w:val="2"/>
          <w:sz w:val="22"/>
          <w:szCs w:val="22"/>
        </w:rPr>
      </w:pPr>
      <w:r w:rsidRPr="006A5F60">
        <w:rPr>
          <w:rFonts w:eastAsia="Arial Narrow"/>
          <w:spacing w:val="2"/>
          <w:sz w:val="22"/>
          <w:szCs w:val="22"/>
        </w:rPr>
        <w:t xml:space="preserve">V prípade </w:t>
      </w:r>
      <w:r w:rsidRPr="006A5F60">
        <w:rPr>
          <w:rFonts w:eastAsia="Arial Narrow"/>
          <w:b/>
          <w:spacing w:val="2"/>
          <w:sz w:val="22"/>
          <w:szCs w:val="22"/>
        </w:rPr>
        <w:t>prioritnej osi 3</w:t>
      </w:r>
      <w:r w:rsidRPr="006A5F60">
        <w:rPr>
          <w:rFonts w:eastAsia="Arial Narrow"/>
          <w:spacing w:val="2"/>
          <w:sz w:val="22"/>
          <w:szCs w:val="22"/>
        </w:rPr>
        <w:t xml:space="preserve"> aktuálne evidujeme nízke čerpanie (29,50%</w:t>
      </w:r>
      <w:r w:rsidRPr="006A5F60">
        <w:rPr>
          <w:rStyle w:val="Odkaznapoznmkupodiarou"/>
          <w:rFonts w:eastAsia="Arial Narrow"/>
          <w:spacing w:val="2"/>
          <w:sz w:val="22"/>
          <w:szCs w:val="22"/>
        </w:rPr>
        <w:footnoteReference w:id="4"/>
      </w:r>
      <w:r w:rsidRPr="006A5F60">
        <w:rPr>
          <w:rFonts w:eastAsia="Arial Narrow"/>
          <w:spacing w:val="2"/>
          <w:sz w:val="22"/>
          <w:szCs w:val="22"/>
        </w:rPr>
        <w:t>) 8 mimoriadne ukončených projektov</w:t>
      </w:r>
      <w:r w:rsidRPr="006A5F60">
        <w:rPr>
          <w:rStyle w:val="Odkaznapoznmkupodiarou"/>
          <w:rFonts w:eastAsia="Arial Narrow"/>
          <w:spacing w:val="2"/>
          <w:sz w:val="22"/>
          <w:szCs w:val="22"/>
        </w:rPr>
        <w:footnoteReference w:id="5"/>
      </w:r>
      <w:r w:rsidRPr="006A5F60">
        <w:rPr>
          <w:rFonts w:eastAsia="Arial Narrow"/>
          <w:spacing w:val="2"/>
          <w:sz w:val="22"/>
          <w:szCs w:val="22"/>
        </w:rPr>
        <w:t xml:space="preserve"> a 22 projektov s plánovaným odstúpením od zmluvy o NFP. Na základe týchto údajov eviduje potencionálne možné voľné zdroje v objeme 20,2 mil. Eur (zdroj EÚ). Táto suma zahŕňa aj projekt Kreatívneho centra Košického kraja v objeme 16 mil. Eur (zdroj EÚ).</w:t>
      </w:r>
    </w:p>
    <w:p w14:paraId="627D2C69" w14:textId="77777777" w:rsidR="00CE2BC5" w:rsidRPr="006A5F60" w:rsidRDefault="00CE2BC5" w:rsidP="007D6EA2">
      <w:pPr>
        <w:spacing w:line="276" w:lineRule="auto"/>
        <w:jc w:val="both"/>
        <w:rPr>
          <w:rFonts w:eastAsia="Arial Narrow"/>
          <w:spacing w:val="2"/>
          <w:sz w:val="22"/>
          <w:szCs w:val="22"/>
        </w:rPr>
      </w:pPr>
    </w:p>
    <w:p w14:paraId="6B0874EA" w14:textId="059BC68A" w:rsidR="007D6EA2" w:rsidRPr="006A5F60" w:rsidRDefault="007D6EA2" w:rsidP="007D6EA2">
      <w:pPr>
        <w:spacing w:line="276" w:lineRule="auto"/>
        <w:jc w:val="both"/>
        <w:rPr>
          <w:rFonts w:eastAsia="Arial Narrow"/>
          <w:spacing w:val="2"/>
          <w:sz w:val="22"/>
          <w:szCs w:val="22"/>
        </w:rPr>
      </w:pPr>
      <w:r w:rsidRPr="006A5F60">
        <w:rPr>
          <w:rFonts w:eastAsia="Arial Narrow"/>
          <w:spacing w:val="2"/>
          <w:sz w:val="22"/>
          <w:szCs w:val="22"/>
        </w:rPr>
        <w:t xml:space="preserve">V prípade </w:t>
      </w:r>
      <w:r w:rsidRPr="006A5F60">
        <w:rPr>
          <w:rFonts w:eastAsia="Arial Narrow"/>
          <w:b/>
          <w:spacing w:val="2"/>
          <w:sz w:val="22"/>
          <w:szCs w:val="22"/>
        </w:rPr>
        <w:t>prioritnej osi 4</w:t>
      </w:r>
      <w:r w:rsidRPr="006A5F60">
        <w:rPr>
          <w:rFonts w:eastAsia="Arial Narrow"/>
          <w:spacing w:val="2"/>
          <w:sz w:val="22"/>
          <w:szCs w:val="22"/>
        </w:rPr>
        <w:t xml:space="preserve"> aktuálne evidujeme 3 mimoriadne ukončené projekty</w:t>
      </w:r>
      <w:r w:rsidRPr="006A5F60">
        <w:rPr>
          <w:rStyle w:val="Odkaznapoznmkupodiarou"/>
          <w:rFonts w:eastAsia="Arial Narrow"/>
          <w:spacing w:val="2"/>
          <w:sz w:val="22"/>
          <w:szCs w:val="22"/>
        </w:rPr>
        <w:footnoteReference w:id="6"/>
      </w:r>
      <w:r w:rsidRPr="006A5F60">
        <w:rPr>
          <w:rFonts w:eastAsia="Arial Narrow"/>
          <w:spacing w:val="2"/>
          <w:sz w:val="22"/>
          <w:szCs w:val="22"/>
        </w:rPr>
        <w:t xml:space="preserve">, 15 vysoko rizikových projektov a 7 projektov s plánovaným odstúpením od zmluvy o NFP. Na základe týchto údajov eviduje potencionálne možné voľné zdroje v objeme 22,5 mil. Eur (zdroj EÚ) (vysoko rizikové projekty a projekty s plánovaným odstúpením od zmluvy o NFP). Zároveň je v procese prípravy úprava zmluvy o financovaní so SIH (finančné nástroje), kde dochádza k zníženiu </w:t>
      </w:r>
      <w:proofErr w:type="spellStart"/>
      <w:r w:rsidRPr="006A5F60">
        <w:rPr>
          <w:rFonts w:eastAsia="Arial Narrow"/>
          <w:spacing w:val="2"/>
          <w:sz w:val="22"/>
          <w:szCs w:val="22"/>
        </w:rPr>
        <w:t>zazmluvnenej</w:t>
      </w:r>
      <w:proofErr w:type="spellEnd"/>
      <w:r w:rsidRPr="006A5F60">
        <w:rPr>
          <w:rFonts w:eastAsia="Arial Narrow"/>
          <w:spacing w:val="2"/>
          <w:sz w:val="22"/>
          <w:szCs w:val="22"/>
        </w:rPr>
        <w:t xml:space="preserve"> sumy o 11,1 mil. Eur  (zdroj EÚ) z dôvodu, ukončenia poskytovania úverov finančným sprostredkovateľom ČSOB (OTP Banka). V súčasnosti má SIH platnú iba jednu zmluvu s finančným sprostredkovateľom (Slovenská sporiteľa), s aktuálne </w:t>
      </w:r>
      <w:proofErr w:type="spellStart"/>
      <w:r w:rsidRPr="006A5F60">
        <w:rPr>
          <w:rFonts w:eastAsia="Arial Narrow"/>
          <w:spacing w:val="2"/>
          <w:sz w:val="22"/>
          <w:szCs w:val="22"/>
        </w:rPr>
        <w:t>zazmluvnenou</w:t>
      </w:r>
      <w:proofErr w:type="spellEnd"/>
      <w:r w:rsidRPr="006A5F60">
        <w:rPr>
          <w:rFonts w:eastAsia="Arial Narrow"/>
          <w:spacing w:val="2"/>
          <w:sz w:val="22"/>
          <w:szCs w:val="22"/>
        </w:rPr>
        <w:t xml:space="preserve"> výškou alokácie 29,6 mil. Eur (COV).</w:t>
      </w:r>
    </w:p>
    <w:p w14:paraId="441C4AF7" w14:textId="77777777" w:rsidR="00CE2BC5" w:rsidRPr="006A5F60" w:rsidRDefault="00CE2BC5" w:rsidP="007D6EA2">
      <w:pPr>
        <w:spacing w:line="276" w:lineRule="auto"/>
        <w:jc w:val="both"/>
        <w:rPr>
          <w:rFonts w:eastAsia="Arial Narrow"/>
          <w:spacing w:val="2"/>
          <w:sz w:val="22"/>
          <w:szCs w:val="22"/>
        </w:rPr>
      </w:pPr>
    </w:p>
    <w:p w14:paraId="3E7A282C" w14:textId="37F04070" w:rsidR="007D6EA2" w:rsidRPr="006A5F60" w:rsidRDefault="007D6EA2" w:rsidP="007D6EA2">
      <w:pPr>
        <w:spacing w:line="276" w:lineRule="auto"/>
        <w:jc w:val="both"/>
        <w:rPr>
          <w:rFonts w:eastAsia="Arial Narrow"/>
          <w:spacing w:val="2"/>
          <w:sz w:val="22"/>
          <w:szCs w:val="22"/>
        </w:rPr>
      </w:pPr>
      <w:r w:rsidRPr="006A5F60">
        <w:rPr>
          <w:rFonts w:eastAsia="Arial Narrow"/>
          <w:spacing w:val="2"/>
          <w:sz w:val="22"/>
          <w:szCs w:val="22"/>
        </w:rPr>
        <w:t xml:space="preserve">V prípade prioritnej osi </w:t>
      </w:r>
      <w:r w:rsidRPr="006A5F60">
        <w:rPr>
          <w:rFonts w:eastAsia="Arial Narrow"/>
          <w:b/>
          <w:spacing w:val="2"/>
          <w:sz w:val="22"/>
          <w:szCs w:val="22"/>
        </w:rPr>
        <w:t>prioritnej osi 5</w:t>
      </w:r>
      <w:r w:rsidRPr="006A5F60">
        <w:rPr>
          <w:rFonts w:eastAsia="Arial Narrow"/>
          <w:spacing w:val="2"/>
          <w:sz w:val="22"/>
          <w:szCs w:val="22"/>
        </w:rPr>
        <w:t xml:space="preserve"> aktuálne eviduje nízke čerpanie (34,63%</w:t>
      </w:r>
      <w:r w:rsidRPr="006A5F60">
        <w:rPr>
          <w:rStyle w:val="Odkaznapoznmkupodiarou"/>
          <w:rFonts w:eastAsia="Arial Narrow"/>
          <w:spacing w:val="2"/>
          <w:sz w:val="22"/>
          <w:szCs w:val="22"/>
        </w:rPr>
        <w:footnoteReference w:id="7"/>
      </w:r>
      <w:r w:rsidRPr="006A5F60">
        <w:rPr>
          <w:rFonts w:eastAsia="Arial Narrow"/>
          <w:spacing w:val="2"/>
          <w:sz w:val="22"/>
          <w:szCs w:val="22"/>
        </w:rPr>
        <w:t xml:space="preserve">) s hroziacim rizikom nedočerpania celkovej alokácie na prioritnú os. </w:t>
      </w:r>
    </w:p>
    <w:p w14:paraId="16E4D8A4" w14:textId="77777777" w:rsidR="00CE2BC5" w:rsidRPr="006A5F60" w:rsidRDefault="00CE2BC5" w:rsidP="007D6EA2">
      <w:pPr>
        <w:spacing w:line="276" w:lineRule="auto"/>
        <w:jc w:val="both"/>
        <w:rPr>
          <w:rFonts w:eastAsia="Arial Narrow"/>
          <w:spacing w:val="2"/>
          <w:sz w:val="22"/>
          <w:szCs w:val="22"/>
        </w:rPr>
      </w:pPr>
    </w:p>
    <w:p w14:paraId="6F6400DD" w14:textId="188C9182" w:rsidR="007D6EA2" w:rsidRPr="006A5F60" w:rsidRDefault="00F50ECB" w:rsidP="007D6EA2">
      <w:pPr>
        <w:spacing w:line="276" w:lineRule="auto"/>
        <w:jc w:val="both"/>
        <w:rPr>
          <w:rFonts w:eastAsia="Arial Narrow"/>
          <w:spacing w:val="2"/>
          <w:sz w:val="22"/>
          <w:szCs w:val="22"/>
        </w:rPr>
      </w:pPr>
      <w:r w:rsidRPr="006A5F60">
        <w:rPr>
          <w:rFonts w:eastAsia="Arial Narrow"/>
          <w:spacing w:val="2"/>
          <w:sz w:val="22"/>
          <w:szCs w:val="22"/>
        </w:rPr>
        <w:t>Vo</w:t>
      </w:r>
      <w:r w:rsidR="007D6EA2" w:rsidRPr="006A5F60">
        <w:rPr>
          <w:rFonts w:eastAsia="Arial Narrow"/>
          <w:spacing w:val="2"/>
          <w:sz w:val="22"/>
          <w:szCs w:val="22"/>
        </w:rPr>
        <w:t xml:space="preserve"> všetkých identifikovaných rizikových projektoch nemusí dôjsť k mimoriadnemu ukončeniu, teda k nedočerpaniu </w:t>
      </w:r>
      <w:proofErr w:type="spellStart"/>
      <w:r w:rsidR="007D6EA2" w:rsidRPr="006A5F60">
        <w:rPr>
          <w:rFonts w:eastAsia="Arial Narrow"/>
          <w:spacing w:val="2"/>
          <w:sz w:val="22"/>
          <w:szCs w:val="22"/>
        </w:rPr>
        <w:t>zazmluvnenej</w:t>
      </w:r>
      <w:proofErr w:type="spellEnd"/>
      <w:r w:rsidR="007D6EA2" w:rsidRPr="006A5F60">
        <w:rPr>
          <w:rFonts w:eastAsia="Arial Narrow"/>
          <w:spacing w:val="2"/>
          <w:sz w:val="22"/>
          <w:szCs w:val="22"/>
        </w:rPr>
        <w:t xml:space="preserve"> sumy. Potencionálne voľné  prostriedky v objeme 74 876 125 Eur (zdroj EÚ) presúvame do </w:t>
      </w:r>
      <w:r w:rsidR="007D6EA2" w:rsidRPr="006A5F60">
        <w:rPr>
          <w:rFonts w:eastAsia="Arial Narrow"/>
          <w:b/>
          <w:spacing w:val="2"/>
          <w:sz w:val="22"/>
          <w:szCs w:val="22"/>
        </w:rPr>
        <w:t>prioritnej osi 1</w:t>
      </w:r>
      <w:r w:rsidR="007D6EA2" w:rsidRPr="006A5F60">
        <w:rPr>
          <w:rFonts w:eastAsia="Arial Narrow"/>
          <w:spacing w:val="2"/>
          <w:sz w:val="22"/>
          <w:szCs w:val="22"/>
        </w:rPr>
        <w:t>, v ktorej evi</w:t>
      </w:r>
      <w:r w:rsidRPr="006A5F60">
        <w:rPr>
          <w:rFonts w:eastAsia="Arial Narrow"/>
          <w:spacing w:val="2"/>
          <w:sz w:val="22"/>
          <w:szCs w:val="22"/>
        </w:rPr>
        <w:t>dujeme vysoký dopyt v </w:t>
      </w:r>
      <w:proofErr w:type="spellStart"/>
      <w:r w:rsidRPr="006A5F60">
        <w:rPr>
          <w:rFonts w:eastAsia="Arial Narrow"/>
          <w:spacing w:val="2"/>
          <w:sz w:val="22"/>
          <w:szCs w:val="22"/>
        </w:rPr>
        <w:t>zazmluvnených</w:t>
      </w:r>
      <w:proofErr w:type="spellEnd"/>
      <w:r w:rsidRPr="006A5F60">
        <w:rPr>
          <w:rFonts w:eastAsia="Arial Narrow"/>
          <w:spacing w:val="2"/>
          <w:sz w:val="22"/>
          <w:szCs w:val="22"/>
        </w:rPr>
        <w:t xml:space="preserve"> projektoch s</w:t>
      </w:r>
      <w:r w:rsidR="007D6EA2" w:rsidRPr="006A5F60">
        <w:rPr>
          <w:rFonts w:eastAsia="Arial Narrow"/>
          <w:spacing w:val="2"/>
          <w:sz w:val="22"/>
          <w:szCs w:val="22"/>
        </w:rPr>
        <w:t xml:space="preserve"> možnosťou jeho uspokojenia a vyčerpania týchto zdrojov uvoľnených v rámci vyššie uvedených prioritných osí IROP. </w:t>
      </w:r>
    </w:p>
    <w:p w14:paraId="6A82192A" w14:textId="77777777" w:rsidR="007D6EA2" w:rsidRPr="006A5F60" w:rsidRDefault="007D6EA2" w:rsidP="007D6EA2">
      <w:pPr>
        <w:spacing w:before="180" w:after="120" w:line="276" w:lineRule="auto"/>
        <w:jc w:val="both"/>
        <w:rPr>
          <w:rFonts w:eastAsia="Arial Narrow"/>
          <w:spacing w:val="2"/>
          <w:sz w:val="22"/>
          <w:szCs w:val="22"/>
        </w:rPr>
      </w:pPr>
      <w:r w:rsidRPr="006A5F60">
        <w:rPr>
          <w:rFonts w:eastAsia="Arial Narrow"/>
          <w:spacing w:val="2"/>
          <w:sz w:val="22"/>
          <w:szCs w:val="22"/>
        </w:rPr>
        <w:t xml:space="preserve">Súčasťou finančných úprav je aj vznik novej prioritnej osi a presun finančných prostriedkov smerujúcich na pomoc pri úhrade nákladov spojených so spotrebou energie v prípade zraniteľných domácností. </w:t>
      </w:r>
    </w:p>
    <w:p w14:paraId="36354C34" w14:textId="77777777" w:rsidR="00F50ECB" w:rsidRPr="006A5F60" w:rsidRDefault="007D6EA2" w:rsidP="007D6EA2">
      <w:pPr>
        <w:spacing w:line="276" w:lineRule="auto"/>
        <w:jc w:val="both"/>
        <w:rPr>
          <w:rFonts w:eastAsia="Arial Narrow"/>
          <w:spacing w:val="2"/>
          <w:sz w:val="22"/>
          <w:szCs w:val="22"/>
        </w:rPr>
      </w:pPr>
      <w:r w:rsidRPr="006A5F60">
        <w:rPr>
          <w:rFonts w:eastAsia="Arial Narrow"/>
          <w:spacing w:val="2"/>
          <w:sz w:val="22"/>
          <w:szCs w:val="22"/>
        </w:rPr>
        <w:t xml:space="preserve">V prípade </w:t>
      </w:r>
      <w:r w:rsidRPr="006A5F60">
        <w:rPr>
          <w:rFonts w:eastAsia="Arial Narrow"/>
          <w:b/>
          <w:spacing w:val="2"/>
          <w:sz w:val="22"/>
          <w:szCs w:val="22"/>
        </w:rPr>
        <w:t>prioritnej osi 7</w:t>
      </w:r>
      <w:r w:rsidRPr="006A5F60">
        <w:rPr>
          <w:rFonts w:eastAsia="Arial Narrow"/>
          <w:spacing w:val="2"/>
          <w:sz w:val="22"/>
          <w:szCs w:val="22"/>
        </w:rPr>
        <w:t xml:space="preserve">, evidujeme značné množstvo projektov s nízkym resp. s nulovým čerpaním pri ktorých hrozí riziko nedočerpania prostriedkov. Údaje na presun finančných prostriedkov zohľadňujú objem </w:t>
      </w:r>
      <w:proofErr w:type="spellStart"/>
      <w:r w:rsidRPr="006A5F60">
        <w:rPr>
          <w:rFonts w:eastAsia="Arial Narrow"/>
          <w:spacing w:val="2"/>
          <w:sz w:val="22"/>
          <w:szCs w:val="22"/>
        </w:rPr>
        <w:t>zazmluvnených</w:t>
      </w:r>
      <w:proofErr w:type="spellEnd"/>
      <w:r w:rsidRPr="006A5F60">
        <w:rPr>
          <w:rFonts w:eastAsia="Arial Narrow"/>
          <w:spacing w:val="2"/>
          <w:sz w:val="22"/>
          <w:szCs w:val="22"/>
        </w:rPr>
        <w:t xml:space="preserve"> finančných prostriedkov a  čerpaných finančných </w:t>
      </w:r>
      <w:r w:rsidRPr="006A5F60">
        <w:rPr>
          <w:rFonts w:eastAsia="Arial Narrow"/>
          <w:spacing w:val="2"/>
          <w:sz w:val="22"/>
          <w:szCs w:val="22"/>
        </w:rPr>
        <w:lastRenderedPageBreak/>
        <w:t xml:space="preserve">prostriedkov po zohľadnení vrátených, resp. nedočerpaných finančných prostriedkov v  ukončených projektoch znížených o projekty v procese odstúpenia od zmluvy o NFP a o avizované odstúpenia od zmluvy o NFP, so zohľadnením možných korekcií vo verejnom obstarávaní. </w:t>
      </w:r>
    </w:p>
    <w:p w14:paraId="67CF6C5E" w14:textId="3D7B172F" w:rsidR="007D6EA2" w:rsidRPr="006A5F60" w:rsidRDefault="007D6EA2" w:rsidP="007D6EA2">
      <w:pPr>
        <w:spacing w:line="276" w:lineRule="auto"/>
        <w:jc w:val="both"/>
        <w:rPr>
          <w:rFonts w:eastAsia="Arial Narrow"/>
          <w:spacing w:val="2"/>
          <w:sz w:val="22"/>
          <w:szCs w:val="22"/>
        </w:rPr>
      </w:pPr>
      <w:r w:rsidRPr="006A5F60">
        <w:rPr>
          <w:rFonts w:eastAsia="Arial Narrow"/>
          <w:spacing w:val="2"/>
          <w:sz w:val="22"/>
          <w:szCs w:val="22"/>
        </w:rPr>
        <w:t xml:space="preserve">Monitorovacie dáta v prioritnej osi uvádzajú: </w:t>
      </w:r>
    </w:p>
    <w:p w14:paraId="1B7D477D" w14:textId="77777777" w:rsidR="007D6EA2" w:rsidRPr="006A5F60" w:rsidRDefault="007D6EA2" w:rsidP="007D6EA2">
      <w:pPr>
        <w:widowControl/>
        <w:numPr>
          <w:ilvl w:val="0"/>
          <w:numId w:val="49"/>
        </w:numPr>
        <w:autoSpaceDE/>
        <w:autoSpaceDN/>
        <w:adjustRightInd/>
        <w:spacing w:line="276" w:lineRule="auto"/>
        <w:jc w:val="both"/>
        <w:rPr>
          <w:rFonts w:eastAsia="Arial Narrow"/>
          <w:spacing w:val="2"/>
          <w:sz w:val="22"/>
          <w:szCs w:val="22"/>
        </w:rPr>
      </w:pPr>
      <w:r w:rsidRPr="006A5F60">
        <w:rPr>
          <w:rFonts w:eastAsia="Arial Narrow"/>
          <w:spacing w:val="2"/>
          <w:sz w:val="22"/>
          <w:szCs w:val="22"/>
        </w:rPr>
        <w:t>vysoko rizikové projekty predstavujú sumu 40,5 mil. Eur (zdroj EÚ);</w:t>
      </w:r>
    </w:p>
    <w:p w14:paraId="302C4B1F" w14:textId="77777777" w:rsidR="007D6EA2" w:rsidRPr="006A5F60" w:rsidRDefault="007D6EA2" w:rsidP="007D6EA2">
      <w:pPr>
        <w:widowControl/>
        <w:numPr>
          <w:ilvl w:val="0"/>
          <w:numId w:val="49"/>
        </w:numPr>
        <w:autoSpaceDE/>
        <w:autoSpaceDN/>
        <w:adjustRightInd/>
        <w:spacing w:line="276" w:lineRule="auto"/>
        <w:jc w:val="both"/>
        <w:rPr>
          <w:rFonts w:eastAsia="Arial Narrow"/>
          <w:spacing w:val="2"/>
          <w:sz w:val="22"/>
          <w:szCs w:val="22"/>
        </w:rPr>
      </w:pPr>
      <w:r w:rsidRPr="006A5F60">
        <w:rPr>
          <w:rFonts w:eastAsia="Arial Narrow"/>
          <w:spacing w:val="2"/>
          <w:sz w:val="22"/>
          <w:szCs w:val="22"/>
        </w:rPr>
        <w:t xml:space="preserve">úspora na verejnom obstarávaní je odhadovaná v sume 19,7 mil. Eur (zdroj EÚ); </w:t>
      </w:r>
    </w:p>
    <w:p w14:paraId="2E4AAD65" w14:textId="77777777" w:rsidR="007D6EA2" w:rsidRPr="006A5F60" w:rsidRDefault="007D6EA2" w:rsidP="007D6EA2">
      <w:pPr>
        <w:widowControl/>
        <w:numPr>
          <w:ilvl w:val="0"/>
          <w:numId w:val="49"/>
        </w:numPr>
        <w:autoSpaceDE/>
        <w:autoSpaceDN/>
        <w:adjustRightInd/>
        <w:spacing w:line="276" w:lineRule="auto"/>
        <w:jc w:val="both"/>
        <w:rPr>
          <w:rFonts w:eastAsia="Arial Narrow"/>
          <w:spacing w:val="2"/>
          <w:sz w:val="22"/>
          <w:szCs w:val="22"/>
        </w:rPr>
      </w:pPr>
      <w:r w:rsidRPr="006A5F60">
        <w:rPr>
          <w:rFonts w:eastAsia="Arial Narrow"/>
          <w:spacing w:val="2"/>
          <w:sz w:val="22"/>
          <w:szCs w:val="22"/>
        </w:rPr>
        <w:t>plánované odstúpenia od zmluvy je odhadované v sume 6,2 mil. Eur (zdroj EÚ);</w:t>
      </w:r>
    </w:p>
    <w:p w14:paraId="01EAB9F6" w14:textId="353DF731" w:rsidR="007D6EA2" w:rsidRPr="006A5F60" w:rsidRDefault="007D6EA2" w:rsidP="007D6EA2">
      <w:pPr>
        <w:widowControl/>
        <w:numPr>
          <w:ilvl w:val="0"/>
          <w:numId w:val="49"/>
        </w:numPr>
        <w:autoSpaceDE/>
        <w:autoSpaceDN/>
        <w:adjustRightInd/>
        <w:spacing w:line="276" w:lineRule="auto"/>
        <w:jc w:val="both"/>
        <w:rPr>
          <w:rFonts w:eastAsia="Arial Narrow"/>
          <w:spacing w:val="2"/>
          <w:sz w:val="22"/>
          <w:szCs w:val="22"/>
        </w:rPr>
      </w:pPr>
      <w:r w:rsidRPr="006A5F60">
        <w:rPr>
          <w:rFonts w:eastAsia="Arial Narrow"/>
          <w:spacing w:val="2"/>
          <w:sz w:val="22"/>
          <w:szCs w:val="22"/>
        </w:rPr>
        <w:t xml:space="preserve">odhadované nedočerpanie finančných prostriedkov, </w:t>
      </w:r>
      <w:proofErr w:type="spellStart"/>
      <w:r w:rsidRPr="006A5F60">
        <w:rPr>
          <w:rFonts w:eastAsia="Arial Narrow"/>
          <w:spacing w:val="2"/>
          <w:sz w:val="22"/>
          <w:szCs w:val="22"/>
        </w:rPr>
        <w:t>vratky</w:t>
      </w:r>
      <w:proofErr w:type="spellEnd"/>
      <w:r w:rsidRPr="006A5F60">
        <w:rPr>
          <w:rFonts w:eastAsia="Arial Narrow"/>
          <w:spacing w:val="2"/>
          <w:sz w:val="22"/>
          <w:szCs w:val="22"/>
        </w:rPr>
        <w:t xml:space="preserve"> – 10 mil. Eur (zdroj EÚ).</w:t>
      </w:r>
    </w:p>
    <w:p w14:paraId="24ECC3AC" w14:textId="77777777" w:rsidR="007D6EA2" w:rsidRPr="006A5F60" w:rsidRDefault="007D6EA2" w:rsidP="007D6EA2">
      <w:pPr>
        <w:spacing w:before="120" w:after="120" w:line="276" w:lineRule="auto"/>
        <w:rPr>
          <w:rFonts w:eastAsia="Arial Narrow"/>
          <w:spacing w:val="2"/>
          <w:sz w:val="22"/>
          <w:szCs w:val="22"/>
        </w:rPr>
      </w:pPr>
      <w:r w:rsidRPr="006A5F60">
        <w:rPr>
          <w:rFonts w:eastAsia="Arial Narrow"/>
          <w:spacing w:val="2"/>
          <w:sz w:val="22"/>
          <w:szCs w:val="22"/>
        </w:rPr>
        <w:t>Suma 76,4 mil. Eur tvorí alokáciu pre novú prioritnú os 10.</w:t>
      </w:r>
    </w:p>
    <w:p w14:paraId="2A1B64E5" w14:textId="77777777" w:rsidR="007D6EA2" w:rsidRPr="00403E06" w:rsidRDefault="007D6EA2" w:rsidP="007D6EA2">
      <w:pPr>
        <w:pStyle w:val="Textkomentra"/>
        <w:spacing w:before="240" w:after="120" w:line="300" w:lineRule="auto"/>
        <w:ind w:left="-851"/>
        <w:jc w:val="both"/>
        <w:rPr>
          <w:rFonts w:eastAsia="Arial Narrow"/>
          <w:sz w:val="22"/>
          <w:szCs w:val="24"/>
        </w:rPr>
      </w:pPr>
      <w:r w:rsidRPr="00403E06">
        <w:rPr>
          <w:b/>
          <w:spacing w:val="2"/>
        </w:rPr>
        <w:t>Tabuľka č. 1 Presuny finančných prostriedkov v rámci prioritných osí a úprava finančného plánu IROP</w:t>
      </w:r>
    </w:p>
    <w:tbl>
      <w:tblPr>
        <w:tblW w:w="1063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93"/>
        <w:gridCol w:w="3119"/>
        <w:gridCol w:w="850"/>
        <w:gridCol w:w="1276"/>
        <w:gridCol w:w="1134"/>
        <w:gridCol w:w="1276"/>
        <w:gridCol w:w="1985"/>
      </w:tblGrid>
      <w:tr w:rsidR="007D6EA2" w:rsidRPr="004A20D6" w14:paraId="5D60E053" w14:textId="77777777" w:rsidTr="007D6EA2">
        <w:trPr>
          <w:tblHeader/>
        </w:trPr>
        <w:tc>
          <w:tcPr>
            <w:tcW w:w="993" w:type="dxa"/>
            <w:shd w:val="clear" w:color="auto" w:fill="auto"/>
            <w:tcMar>
              <w:top w:w="17" w:type="dxa"/>
              <w:bottom w:w="17" w:type="dxa"/>
              <w:right w:w="28" w:type="dxa"/>
            </w:tcMar>
            <w:vAlign w:val="center"/>
            <w:hideMark/>
          </w:tcPr>
          <w:p w14:paraId="77FA73A3" w14:textId="77777777" w:rsidR="007D6EA2" w:rsidRPr="004A20D6" w:rsidRDefault="007D6EA2" w:rsidP="007D6EA2">
            <w:pPr>
              <w:jc w:val="center"/>
              <w:rPr>
                <w:rFonts w:ascii="Arial Narrow" w:hAnsi="Arial Narrow" w:cs="Calibri"/>
                <w:b/>
                <w:bCs/>
                <w:color w:val="000000"/>
                <w:spacing w:val="-2"/>
                <w:sz w:val="18"/>
                <w:szCs w:val="18"/>
              </w:rPr>
            </w:pPr>
            <w:r w:rsidRPr="004A20D6">
              <w:rPr>
                <w:rFonts w:ascii="Arial Narrow" w:hAnsi="Arial Narrow" w:cs="Calibri"/>
                <w:b/>
                <w:bCs/>
                <w:color w:val="000000"/>
                <w:spacing w:val="-2"/>
                <w:sz w:val="18"/>
                <w:szCs w:val="18"/>
              </w:rPr>
              <w:t>Prioritná os</w:t>
            </w:r>
          </w:p>
        </w:tc>
        <w:tc>
          <w:tcPr>
            <w:tcW w:w="3119" w:type="dxa"/>
            <w:shd w:val="clear" w:color="auto" w:fill="auto"/>
            <w:tcMar>
              <w:top w:w="17" w:type="dxa"/>
              <w:bottom w:w="17" w:type="dxa"/>
              <w:right w:w="28" w:type="dxa"/>
            </w:tcMar>
            <w:vAlign w:val="center"/>
          </w:tcPr>
          <w:p w14:paraId="5E333B3C" w14:textId="77777777" w:rsidR="007D6EA2" w:rsidRPr="004A20D6" w:rsidRDefault="007D6EA2" w:rsidP="007D6EA2">
            <w:pPr>
              <w:jc w:val="center"/>
              <w:rPr>
                <w:rFonts w:ascii="Arial Narrow" w:hAnsi="Arial Narrow" w:cs="Calibri"/>
                <w:b/>
                <w:bCs/>
                <w:color w:val="000000"/>
                <w:spacing w:val="-2"/>
                <w:sz w:val="18"/>
                <w:szCs w:val="18"/>
              </w:rPr>
            </w:pPr>
            <w:r w:rsidRPr="004A20D6">
              <w:rPr>
                <w:rFonts w:ascii="Arial Narrow" w:hAnsi="Arial Narrow" w:cs="Calibri"/>
                <w:b/>
                <w:bCs/>
                <w:color w:val="000000"/>
                <w:spacing w:val="-2"/>
                <w:sz w:val="18"/>
                <w:szCs w:val="18"/>
              </w:rPr>
              <w:t>Špecifický cieľ (skrátený názov) /</w:t>
            </w:r>
          </w:p>
          <w:p w14:paraId="6E7452EC" w14:textId="77777777" w:rsidR="007D6EA2" w:rsidRPr="004A20D6" w:rsidRDefault="007D6EA2" w:rsidP="007D6EA2">
            <w:pPr>
              <w:jc w:val="center"/>
              <w:rPr>
                <w:rFonts w:ascii="Arial Narrow" w:hAnsi="Arial Narrow" w:cs="Calibri"/>
                <w:b/>
                <w:bCs/>
                <w:color w:val="000000"/>
                <w:spacing w:val="-2"/>
                <w:sz w:val="18"/>
                <w:szCs w:val="18"/>
              </w:rPr>
            </w:pPr>
            <w:r w:rsidRPr="004A20D6">
              <w:rPr>
                <w:rFonts w:ascii="Arial Narrow" w:hAnsi="Arial Narrow" w:cs="Calibri"/>
                <w:b/>
                <w:bCs/>
                <w:color w:val="000000"/>
                <w:spacing w:val="-2"/>
                <w:sz w:val="18"/>
                <w:szCs w:val="18"/>
              </w:rPr>
              <w:t>Kategória regiónu</w:t>
            </w:r>
          </w:p>
        </w:tc>
        <w:tc>
          <w:tcPr>
            <w:tcW w:w="850" w:type="dxa"/>
            <w:shd w:val="clear" w:color="auto" w:fill="auto"/>
            <w:tcMar>
              <w:top w:w="17" w:type="dxa"/>
              <w:bottom w:w="17" w:type="dxa"/>
              <w:right w:w="28" w:type="dxa"/>
            </w:tcMar>
            <w:vAlign w:val="center"/>
          </w:tcPr>
          <w:p w14:paraId="7F9E17AC" w14:textId="77777777" w:rsidR="007D6EA2" w:rsidRPr="004A20D6" w:rsidRDefault="007D6EA2" w:rsidP="007D6EA2">
            <w:pPr>
              <w:jc w:val="center"/>
              <w:rPr>
                <w:rFonts w:ascii="Arial Narrow" w:hAnsi="Arial Narrow" w:cs="Calibri"/>
                <w:b/>
                <w:bCs/>
                <w:color w:val="000000"/>
                <w:spacing w:val="-2"/>
                <w:sz w:val="18"/>
                <w:szCs w:val="18"/>
              </w:rPr>
            </w:pPr>
            <w:r w:rsidRPr="004A20D6">
              <w:rPr>
                <w:rFonts w:ascii="Arial Narrow" w:hAnsi="Arial Narrow" w:cs="Calibri"/>
                <w:b/>
                <w:bCs/>
                <w:color w:val="000000"/>
                <w:spacing w:val="-2"/>
                <w:sz w:val="18"/>
                <w:szCs w:val="18"/>
              </w:rPr>
              <w:t>Kategória regiónu</w:t>
            </w:r>
          </w:p>
        </w:tc>
        <w:tc>
          <w:tcPr>
            <w:tcW w:w="1276" w:type="dxa"/>
            <w:shd w:val="clear" w:color="auto" w:fill="auto"/>
            <w:tcMar>
              <w:top w:w="17" w:type="dxa"/>
              <w:bottom w:w="17" w:type="dxa"/>
              <w:right w:w="28" w:type="dxa"/>
            </w:tcMar>
            <w:vAlign w:val="center"/>
          </w:tcPr>
          <w:p w14:paraId="6EFF3012" w14:textId="77777777" w:rsidR="007D6EA2" w:rsidRPr="004A20D6" w:rsidRDefault="007D6EA2" w:rsidP="007D6EA2">
            <w:pPr>
              <w:ind w:right="28"/>
              <w:jc w:val="center"/>
              <w:rPr>
                <w:rFonts w:ascii="Arial Narrow" w:hAnsi="Arial Narrow" w:cs="Calibri"/>
                <w:b/>
                <w:bCs/>
                <w:spacing w:val="-2"/>
                <w:sz w:val="18"/>
                <w:szCs w:val="18"/>
              </w:rPr>
            </w:pPr>
            <w:r w:rsidRPr="004A20D6">
              <w:rPr>
                <w:rFonts w:ascii="Arial Narrow" w:hAnsi="Arial Narrow" w:cs="Calibri"/>
                <w:b/>
                <w:bCs/>
                <w:spacing w:val="-2"/>
                <w:sz w:val="18"/>
                <w:szCs w:val="18"/>
              </w:rPr>
              <w:t>Alokácia IROP, verzia 13.0</w:t>
            </w:r>
          </w:p>
        </w:tc>
        <w:tc>
          <w:tcPr>
            <w:tcW w:w="1134" w:type="dxa"/>
            <w:shd w:val="clear" w:color="auto" w:fill="auto"/>
            <w:tcMar>
              <w:top w:w="17" w:type="dxa"/>
              <w:bottom w:w="17" w:type="dxa"/>
              <w:right w:w="28" w:type="dxa"/>
            </w:tcMar>
            <w:vAlign w:val="center"/>
          </w:tcPr>
          <w:p w14:paraId="4EE415DA" w14:textId="77777777" w:rsidR="007D6EA2" w:rsidRPr="004A20D6" w:rsidRDefault="007D6EA2" w:rsidP="007D6EA2">
            <w:pPr>
              <w:ind w:right="28"/>
              <w:jc w:val="center"/>
              <w:rPr>
                <w:rFonts w:ascii="Arial Narrow" w:hAnsi="Arial Narrow" w:cs="Calibri"/>
                <w:b/>
                <w:bCs/>
                <w:spacing w:val="-2"/>
                <w:sz w:val="18"/>
                <w:szCs w:val="18"/>
              </w:rPr>
            </w:pPr>
            <w:r w:rsidRPr="004A20D6">
              <w:rPr>
                <w:rFonts w:ascii="Arial Narrow" w:hAnsi="Arial Narrow" w:cs="Calibri"/>
                <w:b/>
                <w:bCs/>
                <w:spacing w:val="-2"/>
                <w:sz w:val="18"/>
                <w:szCs w:val="18"/>
              </w:rPr>
              <w:t>Zmeny v alokáciách</w:t>
            </w:r>
          </w:p>
        </w:tc>
        <w:tc>
          <w:tcPr>
            <w:tcW w:w="1276" w:type="dxa"/>
            <w:shd w:val="clear" w:color="auto" w:fill="auto"/>
            <w:tcMar>
              <w:top w:w="17" w:type="dxa"/>
              <w:bottom w:w="17" w:type="dxa"/>
              <w:right w:w="28" w:type="dxa"/>
            </w:tcMar>
            <w:vAlign w:val="center"/>
          </w:tcPr>
          <w:p w14:paraId="1F273B04" w14:textId="77777777" w:rsidR="007D6EA2" w:rsidRPr="004A20D6" w:rsidRDefault="007D6EA2" w:rsidP="007D6EA2">
            <w:pPr>
              <w:ind w:right="28"/>
              <w:jc w:val="center"/>
              <w:rPr>
                <w:rFonts w:ascii="Arial Narrow" w:hAnsi="Arial Narrow" w:cs="Calibri"/>
                <w:b/>
                <w:bCs/>
                <w:spacing w:val="-2"/>
                <w:sz w:val="18"/>
                <w:szCs w:val="18"/>
              </w:rPr>
            </w:pPr>
            <w:r w:rsidRPr="004A20D6">
              <w:rPr>
                <w:rFonts w:ascii="Arial Narrow" w:hAnsi="Arial Narrow" w:cs="Calibri"/>
                <w:b/>
                <w:bCs/>
                <w:spacing w:val="-2"/>
                <w:sz w:val="18"/>
                <w:szCs w:val="18"/>
              </w:rPr>
              <w:t>Alokácia IROP, verzia 1</w:t>
            </w:r>
            <w:r>
              <w:rPr>
                <w:rFonts w:ascii="Arial Narrow" w:hAnsi="Arial Narrow" w:cs="Calibri"/>
                <w:b/>
                <w:bCs/>
                <w:spacing w:val="-2"/>
                <w:sz w:val="18"/>
                <w:szCs w:val="18"/>
              </w:rPr>
              <w:t>4</w:t>
            </w:r>
            <w:r w:rsidRPr="004A20D6">
              <w:rPr>
                <w:rFonts w:ascii="Arial Narrow" w:hAnsi="Arial Narrow" w:cs="Calibri"/>
                <w:b/>
                <w:bCs/>
                <w:spacing w:val="-2"/>
                <w:sz w:val="18"/>
                <w:szCs w:val="18"/>
              </w:rPr>
              <w:t>.0</w:t>
            </w:r>
          </w:p>
        </w:tc>
        <w:tc>
          <w:tcPr>
            <w:tcW w:w="1985" w:type="dxa"/>
            <w:vAlign w:val="center"/>
          </w:tcPr>
          <w:p w14:paraId="3F0FD4BB" w14:textId="77777777" w:rsidR="007D6EA2" w:rsidRPr="004A20D6" w:rsidRDefault="007D6EA2" w:rsidP="007D6EA2">
            <w:pPr>
              <w:jc w:val="center"/>
              <w:rPr>
                <w:rFonts w:ascii="Arial Narrow" w:hAnsi="Arial Narrow" w:cs="Calibri"/>
                <w:b/>
                <w:bCs/>
                <w:spacing w:val="-2"/>
                <w:sz w:val="18"/>
                <w:szCs w:val="18"/>
              </w:rPr>
            </w:pPr>
            <w:r w:rsidRPr="004A20D6">
              <w:rPr>
                <w:rFonts w:ascii="Arial Narrow" w:hAnsi="Arial Narrow" w:cs="Calibri"/>
                <w:b/>
                <w:bCs/>
                <w:spacing w:val="-2"/>
                <w:sz w:val="18"/>
                <w:szCs w:val="18"/>
              </w:rPr>
              <w:t xml:space="preserve">Špecifikácia presunov finančných prostriedkov </w:t>
            </w:r>
          </w:p>
        </w:tc>
      </w:tr>
      <w:tr w:rsidR="007D6EA2" w:rsidRPr="004A20D6" w14:paraId="314DC940" w14:textId="77777777" w:rsidTr="007D6EA2">
        <w:tc>
          <w:tcPr>
            <w:tcW w:w="993" w:type="dxa"/>
            <w:vMerge w:val="restart"/>
            <w:shd w:val="clear" w:color="auto" w:fill="auto"/>
            <w:tcMar>
              <w:top w:w="17" w:type="dxa"/>
              <w:bottom w:w="17" w:type="dxa"/>
              <w:right w:w="28" w:type="dxa"/>
            </w:tcMar>
            <w:vAlign w:val="center"/>
            <w:hideMark/>
          </w:tcPr>
          <w:p w14:paraId="688ABA8C"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1. Bezpečná a ekologická doprava v regiónoch</w:t>
            </w:r>
          </w:p>
        </w:tc>
        <w:tc>
          <w:tcPr>
            <w:tcW w:w="3119" w:type="dxa"/>
            <w:vMerge w:val="restart"/>
            <w:shd w:val="clear" w:color="auto" w:fill="auto"/>
            <w:tcMar>
              <w:top w:w="17" w:type="dxa"/>
              <w:bottom w:w="17" w:type="dxa"/>
              <w:right w:w="28" w:type="dxa"/>
            </w:tcMar>
            <w:vAlign w:val="center"/>
            <w:hideMark/>
          </w:tcPr>
          <w:p w14:paraId="2D238A5E"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1.1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Cesty</w:t>
            </w:r>
          </w:p>
        </w:tc>
        <w:tc>
          <w:tcPr>
            <w:tcW w:w="850" w:type="dxa"/>
            <w:shd w:val="clear" w:color="auto" w:fill="auto"/>
            <w:tcMar>
              <w:top w:w="17" w:type="dxa"/>
              <w:bottom w:w="17" w:type="dxa"/>
              <w:right w:w="28" w:type="dxa"/>
            </w:tcMar>
            <w:vAlign w:val="center"/>
            <w:hideMark/>
          </w:tcPr>
          <w:p w14:paraId="477FF524"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12EC3A60"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155 591 177</w:t>
            </w:r>
          </w:p>
        </w:tc>
        <w:tc>
          <w:tcPr>
            <w:tcW w:w="1134" w:type="dxa"/>
            <w:shd w:val="clear" w:color="auto" w:fill="auto"/>
            <w:tcMar>
              <w:top w:w="17" w:type="dxa"/>
              <w:bottom w:w="17" w:type="dxa"/>
              <w:right w:w="28" w:type="dxa"/>
            </w:tcMar>
            <w:vAlign w:val="center"/>
          </w:tcPr>
          <w:p w14:paraId="0B88359E"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w:t>
            </w:r>
            <w:r w:rsidRPr="00F006A0">
              <w:rPr>
                <w:rFonts w:ascii="Arial Narrow" w:hAnsi="Arial Narrow" w:cs="Calibri"/>
                <w:spacing w:val="-2"/>
                <w:sz w:val="20"/>
                <w:szCs w:val="20"/>
              </w:rPr>
              <w:t>43 500 000</w:t>
            </w:r>
          </w:p>
        </w:tc>
        <w:tc>
          <w:tcPr>
            <w:tcW w:w="1276" w:type="dxa"/>
            <w:shd w:val="clear" w:color="auto" w:fill="auto"/>
            <w:tcMar>
              <w:top w:w="17" w:type="dxa"/>
              <w:bottom w:w="17" w:type="dxa"/>
              <w:right w:w="28" w:type="dxa"/>
            </w:tcMar>
            <w:vAlign w:val="center"/>
          </w:tcPr>
          <w:p w14:paraId="037D9F7B"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199 091 177</w:t>
            </w:r>
            <w:r w:rsidRPr="00F006A0">
              <w:rPr>
                <w:rFonts w:ascii="Arial Narrow" w:hAnsi="Arial Narrow" w:cs="Calibri"/>
                <w:spacing w:val="-2"/>
                <w:sz w:val="20"/>
                <w:szCs w:val="20"/>
              </w:rPr>
              <w:t xml:space="preserve"> </w:t>
            </w:r>
          </w:p>
        </w:tc>
        <w:tc>
          <w:tcPr>
            <w:tcW w:w="1985" w:type="dxa"/>
            <w:vAlign w:val="center"/>
          </w:tcPr>
          <w:p w14:paraId="055BE430"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w:t>
            </w:r>
            <w:r w:rsidRPr="00B35555">
              <w:rPr>
                <w:rFonts w:ascii="Arial Narrow" w:hAnsi="Arial Narrow" w:cs="Calibri"/>
                <w:spacing w:val="-2"/>
                <w:sz w:val="20"/>
                <w:szCs w:val="20"/>
              </w:rPr>
              <w:t>resun z</w:t>
            </w:r>
            <w:r>
              <w:rPr>
                <w:rFonts w:ascii="Arial Narrow" w:hAnsi="Arial Narrow" w:cs="Calibri"/>
                <w:spacing w:val="-2"/>
                <w:sz w:val="20"/>
                <w:szCs w:val="20"/>
              </w:rPr>
              <w:t> PO1, PO2, PO3, PO4,</w:t>
            </w:r>
            <w:r w:rsidRPr="00B35555">
              <w:rPr>
                <w:rFonts w:ascii="Arial Narrow" w:hAnsi="Arial Narrow" w:cs="Calibri"/>
                <w:spacing w:val="-2"/>
                <w:sz w:val="20"/>
                <w:szCs w:val="20"/>
              </w:rPr>
              <w:t xml:space="preserve"> PO5</w:t>
            </w:r>
          </w:p>
        </w:tc>
      </w:tr>
      <w:tr w:rsidR="007D6EA2" w:rsidRPr="004A20D6" w14:paraId="62672FAA" w14:textId="77777777" w:rsidTr="007D6EA2">
        <w:tc>
          <w:tcPr>
            <w:tcW w:w="993" w:type="dxa"/>
            <w:vMerge/>
            <w:tcMar>
              <w:top w:w="17" w:type="dxa"/>
              <w:bottom w:w="17" w:type="dxa"/>
              <w:right w:w="28" w:type="dxa"/>
            </w:tcMar>
            <w:vAlign w:val="center"/>
            <w:hideMark/>
          </w:tcPr>
          <w:p w14:paraId="102E5E7D" w14:textId="77777777" w:rsidR="007D6EA2" w:rsidRPr="004A20D6" w:rsidRDefault="007D6EA2" w:rsidP="007D6EA2">
            <w:pPr>
              <w:rPr>
                <w:rFonts w:ascii="Arial Narrow" w:hAnsi="Arial Narrow" w:cs="Calibri"/>
                <w:b/>
                <w:bCs/>
                <w:color w:val="000000"/>
                <w:spacing w:val="-2"/>
                <w:sz w:val="20"/>
                <w:szCs w:val="20"/>
              </w:rPr>
            </w:pPr>
          </w:p>
        </w:tc>
        <w:tc>
          <w:tcPr>
            <w:tcW w:w="3119" w:type="dxa"/>
            <w:vMerge/>
            <w:tcMar>
              <w:top w:w="17" w:type="dxa"/>
              <w:bottom w:w="17" w:type="dxa"/>
              <w:right w:w="28" w:type="dxa"/>
            </w:tcMar>
            <w:vAlign w:val="center"/>
            <w:hideMark/>
          </w:tcPr>
          <w:p w14:paraId="5DEBAAC3"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auto"/>
            <w:tcMar>
              <w:top w:w="17" w:type="dxa"/>
              <w:bottom w:w="17" w:type="dxa"/>
              <w:right w:w="28" w:type="dxa"/>
            </w:tcMar>
            <w:vAlign w:val="center"/>
            <w:hideMark/>
          </w:tcPr>
          <w:p w14:paraId="3502F460"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4D65D22D" w14:textId="77777777" w:rsidR="007D6EA2" w:rsidRPr="004A20D6" w:rsidRDefault="007D6EA2" w:rsidP="007D6EA2">
            <w:pPr>
              <w:ind w:right="28"/>
              <w:jc w:val="right"/>
              <w:rPr>
                <w:rFonts w:ascii="Arial Narrow" w:hAnsi="Arial Narrow" w:cs="Calibri"/>
                <w:spacing w:val="-2"/>
                <w:sz w:val="20"/>
                <w:szCs w:val="20"/>
              </w:rPr>
            </w:pPr>
            <w:r w:rsidRPr="004A20D6">
              <w:rPr>
                <w:rFonts w:ascii="Arial Narrow" w:hAnsi="Arial Narrow" w:cs="Calibri"/>
                <w:color w:val="000000"/>
                <w:spacing w:val="-2"/>
                <w:sz w:val="20"/>
                <w:szCs w:val="20"/>
              </w:rPr>
              <w:t>5 580 000</w:t>
            </w:r>
          </w:p>
        </w:tc>
        <w:tc>
          <w:tcPr>
            <w:tcW w:w="1134" w:type="dxa"/>
            <w:shd w:val="clear" w:color="auto" w:fill="auto"/>
            <w:tcMar>
              <w:top w:w="17" w:type="dxa"/>
              <w:bottom w:w="17" w:type="dxa"/>
              <w:right w:w="28" w:type="dxa"/>
            </w:tcMar>
            <w:vAlign w:val="center"/>
          </w:tcPr>
          <w:p w14:paraId="563CF73E"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7BE5D8C4" w14:textId="77777777" w:rsidR="007D6EA2" w:rsidRPr="004A20D6" w:rsidRDefault="007D6EA2" w:rsidP="007D6EA2">
            <w:pPr>
              <w:ind w:right="28"/>
              <w:jc w:val="right"/>
              <w:rPr>
                <w:rFonts w:ascii="Arial Narrow" w:hAnsi="Arial Narrow" w:cs="Calibri"/>
                <w:spacing w:val="-2"/>
                <w:sz w:val="20"/>
                <w:szCs w:val="20"/>
              </w:rPr>
            </w:pPr>
            <w:r w:rsidRPr="004A20D6">
              <w:rPr>
                <w:rFonts w:ascii="Arial Narrow" w:hAnsi="Arial Narrow" w:cs="Calibri"/>
                <w:color w:val="000000"/>
                <w:spacing w:val="-2"/>
                <w:sz w:val="20"/>
                <w:szCs w:val="20"/>
              </w:rPr>
              <w:t>5 580 000</w:t>
            </w:r>
          </w:p>
        </w:tc>
        <w:tc>
          <w:tcPr>
            <w:tcW w:w="1985" w:type="dxa"/>
            <w:vAlign w:val="center"/>
          </w:tcPr>
          <w:p w14:paraId="3BB9CFD7" w14:textId="77777777" w:rsidR="007D6EA2" w:rsidRPr="004A20D6" w:rsidRDefault="007D6EA2" w:rsidP="007D6EA2">
            <w:pPr>
              <w:rPr>
                <w:rFonts w:ascii="Arial Narrow" w:hAnsi="Arial Narrow" w:cs="Calibri"/>
                <w:spacing w:val="-2"/>
                <w:sz w:val="20"/>
                <w:szCs w:val="20"/>
              </w:rPr>
            </w:pPr>
          </w:p>
        </w:tc>
      </w:tr>
      <w:tr w:rsidR="007D6EA2" w:rsidRPr="004A20D6" w14:paraId="23CF1C22" w14:textId="77777777" w:rsidTr="007D6EA2">
        <w:tc>
          <w:tcPr>
            <w:tcW w:w="993" w:type="dxa"/>
            <w:vMerge/>
            <w:tcMar>
              <w:top w:w="17" w:type="dxa"/>
              <w:bottom w:w="17" w:type="dxa"/>
              <w:right w:w="28" w:type="dxa"/>
            </w:tcMar>
            <w:vAlign w:val="center"/>
            <w:hideMark/>
          </w:tcPr>
          <w:p w14:paraId="2B9C6E51"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auto"/>
            <w:tcMar>
              <w:top w:w="17" w:type="dxa"/>
              <w:bottom w:w="17" w:type="dxa"/>
              <w:right w:w="28" w:type="dxa"/>
            </w:tcMar>
            <w:vAlign w:val="center"/>
            <w:hideMark/>
          </w:tcPr>
          <w:p w14:paraId="2B40DFEF"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1.2.1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Verejná osobná doprava</w:t>
            </w:r>
          </w:p>
        </w:tc>
        <w:tc>
          <w:tcPr>
            <w:tcW w:w="850" w:type="dxa"/>
            <w:shd w:val="clear" w:color="auto" w:fill="auto"/>
            <w:tcMar>
              <w:top w:w="17" w:type="dxa"/>
              <w:bottom w:w="17" w:type="dxa"/>
              <w:right w:w="28" w:type="dxa"/>
            </w:tcMar>
            <w:vAlign w:val="center"/>
            <w:hideMark/>
          </w:tcPr>
          <w:p w14:paraId="72DBAABD"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70320979"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49 275</w:t>
            </w:r>
            <w:r>
              <w:rPr>
                <w:rFonts w:ascii="Arial Narrow" w:hAnsi="Arial Narrow" w:cs="Calibri"/>
                <w:color w:val="000000"/>
                <w:spacing w:val="-2"/>
                <w:sz w:val="20"/>
                <w:szCs w:val="20"/>
              </w:rPr>
              <w:t> </w:t>
            </w:r>
            <w:r w:rsidRPr="00EB1889">
              <w:rPr>
                <w:rFonts w:ascii="Arial Narrow" w:hAnsi="Arial Narrow" w:cs="Calibri"/>
                <w:color w:val="000000"/>
                <w:spacing w:val="-2"/>
                <w:sz w:val="20"/>
                <w:szCs w:val="20"/>
              </w:rPr>
              <w:t>906</w:t>
            </w:r>
          </w:p>
        </w:tc>
        <w:tc>
          <w:tcPr>
            <w:tcW w:w="1134" w:type="dxa"/>
            <w:shd w:val="clear" w:color="auto" w:fill="auto"/>
            <w:tcMar>
              <w:top w:w="17" w:type="dxa"/>
              <w:bottom w:w="17" w:type="dxa"/>
              <w:right w:w="28" w:type="dxa"/>
            </w:tcMar>
            <w:vAlign w:val="center"/>
          </w:tcPr>
          <w:p w14:paraId="4AA247B0"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w:t>
            </w:r>
            <w:r w:rsidRPr="00F006A0">
              <w:rPr>
                <w:rFonts w:ascii="Arial Narrow" w:hAnsi="Arial Narrow" w:cs="Calibri"/>
                <w:spacing w:val="-2"/>
                <w:sz w:val="20"/>
                <w:szCs w:val="20"/>
              </w:rPr>
              <w:t>30 511 570</w:t>
            </w:r>
          </w:p>
        </w:tc>
        <w:tc>
          <w:tcPr>
            <w:tcW w:w="1276" w:type="dxa"/>
            <w:shd w:val="clear" w:color="auto" w:fill="auto"/>
            <w:tcMar>
              <w:top w:w="17" w:type="dxa"/>
              <w:bottom w:w="17" w:type="dxa"/>
              <w:right w:w="28" w:type="dxa"/>
            </w:tcMar>
            <w:vAlign w:val="center"/>
          </w:tcPr>
          <w:p w14:paraId="4EA517F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79 787 476</w:t>
            </w:r>
            <w:r w:rsidRPr="00F006A0">
              <w:rPr>
                <w:rFonts w:ascii="Arial Narrow" w:hAnsi="Arial Narrow" w:cs="Calibri"/>
                <w:spacing w:val="-2"/>
                <w:sz w:val="20"/>
                <w:szCs w:val="20"/>
              </w:rPr>
              <w:t xml:space="preserve">   </w:t>
            </w:r>
          </w:p>
        </w:tc>
        <w:tc>
          <w:tcPr>
            <w:tcW w:w="1985" w:type="dxa"/>
            <w:vAlign w:val="center"/>
          </w:tcPr>
          <w:p w14:paraId="2E94F6DC"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w:t>
            </w:r>
            <w:r w:rsidRPr="00B35555">
              <w:rPr>
                <w:rFonts w:ascii="Arial Narrow" w:hAnsi="Arial Narrow" w:cs="Calibri"/>
                <w:spacing w:val="-2"/>
                <w:sz w:val="20"/>
                <w:szCs w:val="20"/>
              </w:rPr>
              <w:t>resun z</w:t>
            </w:r>
            <w:r>
              <w:rPr>
                <w:rFonts w:ascii="Arial Narrow" w:hAnsi="Arial Narrow" w:cs="Calibri"/>
                <w:spacing w:val="-2"/>
                <w:sz w:val="20"/>
                <w:szCs w:val="20"/>
              </w:rPr>
              <w:t> PO1, PO2, PO3, PO4,</w:t>
            </w:r>
            <w:r w:rsidRPr="00B35555">
              <w:rPr>
                <w:rFonts w:ascii="Arial Narrow" w:hAnsi="Arial Narrow" w:cs="Calibri"/>
                <w:spacing w:val="-2"/>
                <w:sz w:val="20"/>
                <w:szCs w:val="20"/>
              </w:rPr>
              <w:t xml:space="preserve"> PO5</w:t>
            </w:r>
          </w:p>
        </w:tc>
      </w:tr>
      <w:tr w:rsidR="007D6EA2" w:rsidRPr="004A20D6" w14:paraId="199DD5C5" w14:textId="77777777" w:rsidTr="007D6EA2">
        <w:tc>
          <w:tcPr>
            <w:tcW w:w="993" w:type="dxa"/>
            <w:vMerge/>
            <w:tcMar>
              <w:top w:w="17" w:type="dxa"/>
              <w:bottom w:w="17" w:type="dxa"/>
              <w:right w:w="28" w:type="dxa"/>
            </w:tcMar>
            <w:vAlign w:val="center"/>
            <w:hideMark/>
          </w:tcPr>
          <w:p w14:paraId="5B76FF65" w14:textId="77777777" w:rsidR="007D6EA2" w:rsidRPr="004A20D6" w:rsidRDefault="007D6EA2" w:rsidP="007D6EA2">
            <w:pPr>
              <w:rPr>
                <w:rFonts w:ascii="Arial Narrow" w:hAnsi="Arial Narrow" w:cs="Calibri"/>
                <w:b/>
                <w:bCs/>
                <w:color w:val="000000"/>
                <w:spacing w:val="-2"/>
                <w:sz w:val="20"/>
                <w:szCs w:val="20"/>
              </w:rPr>
            </w:pPr>
          </w:p>
        </w:tc>
        <w:tc>
          <w:tcPr>
            <w:tcW w:w="3119" w:type="dxa"/>
            <w:vMerge/>
            <w:tcMar>
              <w:top w:w="17" w:type="dxa"/>
              <w:bottom w:w="17" w:type="dxa"/>
              <w:right w:w="28" w:type="dxa"/>
            </w:tcMar>
            <w:vAlign w:val="center"/>
            <w:hideMark/>
          </w:tcPr>
          <w:p w14:paraId="7F30A49F"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auto"/>
            <w:tcMar>
              <w:top w:w="17" w:type="dxa"/>
              <w:bottom w:w="17" w:type="dxa"/>
              <w:right w:w="28" w:type="dxa"/>
            </w:tcMar>
            <w:vAlign w:val="center"/>
            <w:hideMark/>
          </w:tcPr>
          <w:p w14:paraId="08286D4A"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11F55760"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8 886 050</w:t>
            </w:r>
          </w:p>
        </w:tc>
        <w:tc>
          <w:tcPr>
            <w:tcW w:w="1134" w:type="dxa"/>
            <w:shd w:val="clear" w:color="auto" w:fill="auto"/>
            <w:tcMar>
              <w:top w:w="17" w:type="dxa"/>
              <w:bottom w:w="17" w:type="dxa"/>
              <w:right w:w="28" w:type="dxa"/>
            </w:tcMar>
            <w:vAlign w:val="center"/>
          </w:tcPr>
          <w:p w14:paraId="0C25A6CA"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w:t>
            </w:r>
            <w:r w:rsidRPr="00F006A0">
              <w:rPr>
                <w:rFonts w:ascii="Arial Narrow" w:hAnsi="Arial Narrow" w:cs="Calibri"/>
                <w:spacing w:val="-2"/>
                <w:sz w:val="20"/>
                <w:szCs w:val="20"/>
              </w:rPr>
              <w:t>754 55</w:t>
            </w:r>
            <w:r>
              <w:rPr>
                <w:rFonts w:ascii="Arial Narrow" w:hAnsi="Arial Narrow" w:cs="Calibri"/>
                <w:spacing w:val="-2"/>
                <w:sz w:val="20"/>
                <w:szCs w:val="20"/>
              </w:rPr>
              <w:t>4</w:t>
            </w:r>
          </w:p>
        </w:tc>
        <w:tc>
          <w:tcPr>
            <w:tcW w:w="1276" w:type="dxa"/>
            <w:shd w:val="clear" w:color="auto" w:fill="auto"/>
            <w:tcMar>
              <w:top w:w="17" w:type="dxa"/>
              <w:bottom w:w="17" w:type="dxa"/>
              <w:right w:w="28" w:type="dxa"/>
            </w:tcMar>
            <w:vAlign w:val="center"/>
          </w:tcPr>
          <w:p w14:paraId="1B7C4D9B"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9</w:t>
            </w:r>
            <w:r>
              <w:rPr>
                <w:rFonts w:ascii="Arial Narrow" w:hAnsi="Arial Narrow" w:cs="Calibri"/>
                <w:spacing w:val="-2"/>
                <w:sz w:val="20"/>
                <w:szCs w:val="20"/>
              </w:rPr>
              <w:t xml:space="preserve"> 640 606</w:t>
            </w:r>
            <w:r w:rsidRPr="00F006A0">
              <w:rPr>
                <w:rFonts w:ascii="Arial Narrow" w:hAnsi="Arial Narrow" w:cs="Calibri"/>
                <w:spacing w:val="-2"/>
                <w:sz w:val="20"/>
                <w:szCs w:val="20"/>
              </w:rPr>
              <w:t xml:space="preserve">,00   </w:t>
            </w:r>
          </w:p>
        </w:tc>
        <w:tc>
          <w:tcPr>
            <w:tcW w:w="1985" w:type="dxa"/>
            <w:vAlign w:val="center"/>
          </w:tcPr>
          <w:p w14:paraId="0AB9EBF5"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z PO4</w:t>
            </w:r>
          </w:p>
        </w:tc>
      </w:tr>
      <w:tr w:rsidR="007D6EA2" w:rsidRPr="004A20D6" w14:paraId="388C90A1" w14:textId="77777777" w:rsidTr="007D6EA2">
        <w:tc>
          <w:tcPr>
            <w:tcW w:w="993" w:type="dxa"/>
            <w:vMerge/>
            <w:tcMar>
              <w:top w:w="17" w:type="dxa"/>
              <w:bottom w:w="17" w:type="dxa"/>
              <w:right w:w="28" w:type="dxa"/>
            </w:tcMar>
            <w:vAlign w:val="center"/>
            <w:hideMark/>
          </w:tcPr>
          <w:p w14:paraId="571EB025"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auto"/>
            <w:tcMar>
              <w:top w:w="17" w:type="dxa"/>
              <w:bottom w:w="17" w:type="dxa"/>
              <w:right w:w="28" w:type="dxa"/>
            </w:tcMar>
            <w:vAlign w:val="center"/>
            <w:hideMark/>
          </w:tcPr>
          <w:p w14:paraId="4F586384"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1.2.2</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w:t>
            </w:r>
            <w:proofErr w:type="spellStart"/>
            <w:r w:rsidRPr="00BE67DE">
              <w:rPr>
                <w:rFonts w:ascii="Arial Narrow" w:hAnsi="Arial Narrow" w:cs="Calibri"/>
                <w:color w:val="000000"/>
                <w:spacing w:val="-2"/>
                <w:sz w:val="20"/>
                <w:szCs w:val="20"/>
              </w:rPr>
              <w:t>Cyklodoprava</w:t>
            </w:r>
            <w:proofErr w:type="spellEnd"/>
          </w:p>
        </w:tc>
        <w:tc>
          <w:tcPr>
            <w:tcW w:w="850" w:type="dxa"/>
            <w:shd w:val="clear" w:color="auto" w:fill="auto"/>
            <w:tcMar>
              <w:top w:w="17" w:type="dxa"/>
              <w:bottom w:w="17" w:type="dxa"/>
              <w:right w:w="28" w:type="dxa"/>
            </w:tcMar>
            <w:vAlign w:val="center"/>
            <w:hideMark/>
          </w:tcPr>
          <w:p w14:paraId="0CEEA442"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3A2041A2" w14:textId="77777777" w:rsidR="007D6EA2" w:rsidRPr="004A20D6" w:rsidRDefault="007D6EA2" w:rsidP="007D6EA2">
            <w:pPr>
              <w:ind w:right="28"/>
              <w:jc w:val="right"/>
              <w:rPr>
                <w:rFonts w:ascii="Arial Narrow" w:hAnsi="Arial Narrow" w:cs="Calibri"/>
                <w:spacing w:val="-2"/>
                <w:sz w:val="20"/>
                <w:szCs w:val="20"/>
              </w:rPr>
            </w:pPr>
            <w:r w:rsidRPr="004A20D6">
              <w:rPr>
                <w:rFonts w:ascii="Arial Narrow" w:hAnsi="Arial Narrow" w:cs="Calibri"/>
                <w:color w:val="000000"/>
                <w:spacing w:val="-2"/>
                <w:sz w:val="20"/>
                <w:szCs w:val="20"/>
              </w:rPr>
              <w:t>58 315 577</w:t>
            </w:r>
          </w:p>
        </w:tc>
        <w:tc>
          <w:tcPr>
            <w:tcW w:w="1134" w:type="dxa"/>
            <w:shd w:val="clear" w:color="auto" w:fill="auto"/>
            <w:tcMar>
              <w:top w:w="17" w:type="dxa"/>
              <w:bottom w:w="17" w:type="dxa"/>
              <w:right w:w="28" w:type="dxa"/>
            </w:tcMar>
            <w:vAlign w:val="center"/>
          </w:tcPr>
          <w:p w14:paraId="0282AC89"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6A21BE96" w14:textId="77777777" w:rsidR="007D6EA2" w:rsidRPr="004A20D6" w:rsidRDefault="007D6EA2" w:rsidP="007D6EA2">
            <w:pPr>
              <w:ind w:right="28"/>
              <w:jc w:val="right"/>
              <w:rPr>
                <w:rFonts w:ascii="Arial Narrow" w:hAnsi="Arial Narrow" w:cs="Calibri"/>
                <w:spacing w:val="-2"/>
                <w:sz w:val="20"/>
                <w:szCs w:val="20"/>
              </w:rPr>
            </w:pPr>
            <w:r w:rsidRPr="004A20D6">
              <w:rPr>
                <w:rFonts w:ascii="Arial Narrow" w:hAnsi="Arial Narrow" w:cs="Calibri"/>
                <w:color w:val="000000"/>
                <w:spacing w:val="-2"/>
                <w:sz w:val="20"/>
                <w:szCs w:val="20"/>
              </w:rPr>
              <w:t>58 315 577</w:t>
            </w:r>
          </w:p>
        </w:tc>
        <w:tc>
          <w:tcPr>
            <w:tcW w:w="1985" w:type="dxa"/>
            <w:vAlign w:val="center"/>
          </w:tcPr>
          <w:p w14:paraId="2B9970E3" w14:textId="77777777" w:rsidR="007D6EA2" w:rsidRPr="004A20D6" w:rsidRDefault="007D6EA2" w:rsidP="007D6EA2">
            <w:pPr>
              <w:rPr>
                <w:rFonts w:ascii="Arial Narrow" w:hAnsi="Arial Narrow" w:cs="Calibri"/>
                <w:spacing w:val="-2"/>
                <w:sz w:val="20"/>
                <w:szCs w:val="20"/>
              </w:rPr>
            </w:pPr>
          </w:p>
        </w:tc>
      </w:tr>
      <w:tr w:rsidR="007D6EA2" w:rsidRPr="004A20D6" w14:paraId="74DFE735" w14:textId="77777777" w:rsidTr="007D6EA2">
        <w:tc>
          <w:tcPr>
            <w:tcW w:w="993" w:type="dxa"/>
            <w:vMerge/>
            <w:tcMar>
              <w:top w:w="17" w:type="dxa"/>
              <w:bottom w:w="17" w:type="dxa"/>
              <w:right w:w="28" w:type="dxa"/>
            </w:tcMar>
            <w:vAlign w:val="center"/>
            <w:hideMark/>
          </w:tcPr>
          <w:p w14:paraId="03953401" w14:textId="77777777" w:rsidR="007D6EA2" w:rsidRPr="004A20D6" w:rsidRDefault="007D6EA2" w:rsidP="007D6EA2">
            <w:pPr>
              <w:rPr>
                <w:rFonts w:ascii="Arial Narrow" w:hAnsi="Arial Narrow" w:cs="Calibri"/>
                <w:b/>
                <w:bCs/>
                <w:color w:val="000000"/>
                <w:spacing w:val="-2"/>
                <w:sz w:val="20"/>
                <w:szCs w:val="20"/>
              </w:rPr>
            </w:pPr>
          </w:p>
        </w:tc>
        <w:tc>
          <w:tcPr>
            <w:tcW w:w="3119" w:type="dxa"/>
            <w:vMerge/>
            <w:tcMar>
              <w:top w:w="17" w:type="dxa"/>
              <w:bottom w:w="17" w:type="dxa"/>
              <w:right w:w="28" w:type="dxa"/>
            </w:tcMar>
            <w:vAlign w:val="center"/>
            <w:hideMark/>
          </w:tcPr>
          <w:p w14:paraId="0DF8B0BB"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auto"/>
            <w:tcMar>
              <w:top w:w="17" w:type="dxa"/>
              <w:bottom w:w="17" w:type="dxa"/>
              <w:right w:w="28" w:type="dxa"/>
            </w:tcMar>
            <w:vAlign w:val="center"/>
            <w:hideMark/>
          </w:tcPr>
          <w:p w14:paraId="18A0A969"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668FF2D0"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3 780 000</w:t>
            </w:r>
          </w:p>
        </w:tc>
        <w:tc>
          <w:tcPr>
            <w:tcW w:w="1134" w:type="dxa"/>
            <w:shd w:val="clear" w:color="auto" w:fill="auto"/>
            <w:tcMar>
              <w:top w:w="17" w:type="dxa"/>
              <w:bottom w:w="17" w:type="dxa"/>
              <w:right w:w="28" w:type="dxa"/>
            </w:tcMar>
            <w:vAlign w:val="center"/>
          </w:tcPr>
          <w:p w14:paraId="3B631551"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w:t>
            </w:r>
            <w:r w:rsidRPr="00F006A0">
              <w:rPr>
                <w:rFonts w:ascii="Arial Narrow" w:hAnsi="Arial Narrow" w:cs="Calibri"/>
                <w:spacing w:val="-2"/>
                <w:sz w:val="20"/>
                <w:szCs w:val="20"/>
              </w:rPr>
              <w:t>110 000</w:t>
            </w:r>
          </w:p>
        </w:tc>
        <w:tc>
          <w:tcPr>
            <w:tcW w:w="1276" w:type="dxa"/>
            <w:shd w:val="clear" w:color="auto" w:fill="auto"/>
            <w:tcMar>
              <w:top w:w="17" w:type="dxa"/>
              <w:bottom w:w="17" w:type="dxa"/>
              <w:right w:w="28" w:type="dxa"/>
            </w:tcMar>
            <w:vAlign w:val="center"/>
          </w:tcPr>
          <w:p w14:paraId="633592A6"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3 890 000</w:t>
            </w:r>
            <w:r w:rsidRPr="00F006A0">
              <w:rPr>
                <w:rFonts w:ascii="Arial Narrow" w:hAnsi="Arial Narrow" w:cs="Calibri"/>
                <w:spacing w:val="-2"/>
                <w:sz w:val="20"/>
                <w:szCs w:val="20"/>
              </w:rPr>
              <w:t xml:space="preserve">   </w:t>
            </w:r>
          </w:p>
        </w:tc>
        <w:tc>
          <w:tcPr>
            <w:tcW w:w="1985" w:type="dxa"/>
            <w:vAlign w:val="center"/>
          </w:tcPr>
          <w:p w14:paraId="1947DC6C" w14:textId="77777777" w:rsidR="007D6EA2" w:rsidRPr="004A20D6" w:rsidRDefault="007D6EA2" w:rsidP="007D6EA2">
            <w:pPr>
              <w:rPr>
                <w:rFonts w:ascii="Arial Narrow" w:hAnsi="Arial Narrow" w:cs="Calibri"/>
                <w:spacing w:val="-2"/>
                <w:sz w:val="20"/>
                <w:szCs w:val="20"/>
              </w:rPr>
            </w:pPr>
            <w:r w:rsidRPr="00F006A0">
              <w:rPr>
                <w:rFonts w:ascii="Arial Narrow" w:hAnsi="Arial Narrow" w:cs="Calibri"/>
                <w:spacing w:val="-2"/>
                <w:sz w:val="20"/>
                <w:szCs w:val="20"/>
              </w:rPr>
              <w:t>Presun z PO4</w:t>
            </w:r>
          </w:p>
        </w:tc>
      </w:tr>
      <w:tr w:rsidR="007D6EA2" w:rsidRPr="004A20D6" w14:paraId="46399CEE" w14:textId="77777777" w:rsidTr="007D6EA2">
        <w:tc>
          <w:tcPr>
            <w:tcW w:w="993" w:type="dxa"/>
            <w:vMerge/>
            <w:tcMar>
              <w:top w:w="17" w:type="dxa"/>
              <w:bottom w:w="17" w:type="dxa"/>
              <w:right w:w="28" w:type="dxa"/>
            </w:tcMar>
            <w:vAlign w:val="center"/>
            <w:hideMark/>
          </w:tcPr>
          <w:p w14:paraId="4CB5E380"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78E57A17"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auto" w:fill="DBE5F1" w:themeFill="accent1" w:themeFillTint="33"/>
            <w:tcMar>
              <w:top w:w="17" w:type="dxa"/>
              <w:bottom w:w="17" w:type="dxa"/>
              <w:right w:w="28" w:type="dxa"/>
            </w:tcMar>
            <w:vAlign w:val="center"/>
            <w:hideMark/>
          </w:tcPr>
          <w:p w14:paraId="1689C755"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DBE5F1" w:themeFill="accent1" w:themeFillTint="33"/>
            <w:tcMar>
              <w:top w:w="17" w:type="dxa"/>
              <w:bottom w:w="17" w:type="dxa"/>
              <w:right w:w="28" w:type="dxa"/>
            </w:tcMar>
            <w:vAlign w:val="center"/>
          </w:tcPr>
          <w:p w14:paraId="3EB0CED6"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263 182 660</w:t>
            </w:r>
          </w:p>
        </w:tc>
        <w:tc>
          <w:tcPr>
            <w:tcW w:w="1134" w:type="dxa"/>
            <w:shd w:val="clear" w:color="auto" w:fill="DBE5F1" w:themeFill="accent1" w:themeFillTint="33"/>
            <w:tcMar>
              <w:top w:w="17" w:type="dxa"/>
              <w:bottom w:w="17" w:type="dxa"/>
              <w:right w:w="28" w:type="dxa"/>
            </w:tcMar>
            <w:vAlign w:val="center"/>
          </w:tcPr>
          <w:p w14:paraId="1FFBC21C"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74 011 570</w:t>
            </w:r>
          </w:p>
        </w:tc>
        <w:tc>
          <w:tcPr>
            <w:tcW w:w="1276" w:type="dxa"/>
            <w:shd w:val="clear" w:color="auto" w:fill="DBE5F1" w:themeFill="accent1" w:themeFillTint="33"/>
            <w:tcMar>
              <w:top w:w="17" w:type="dxa"/>
              <w:bottom w:w="17" w:type="dxa"/>
              <w:right w:w="28" w:type="dxa"/>
            </w:tcMar>
            <w:vAlign w:val="center"/>
          </w:tcPr>
          <w:p w14:paraId="185261E6"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337 194 230</w:t>
            </w:r>
            <w:r w:rsidRPr="00F006A0">
              <w:rPr>
                <w:rFonts w:ascii="Arial Narrow" w:hAnsi="Arial Narrow" w:cs="Calibri"/>
                <w:spacing w:val="-2"/>
                <w:sz w:val="20"/>
                <w:szCs w:val="20"/>
              </w:rPr>
              <w:t xml:space="preserve">   </w:t>
            </w:r>
          </w:p>
        </w:tc>
        <w:tc>
          <w:tcPr>
            <w:tcW w:w="1985" w:type="dxa"/>
            <w:shd w:val="clear" w:color="auto" w:fill="DBE5F1" w:themeFill="accent1" w:themeFillTint="33"/>
            <w:vAlign w:val="center"/>
          </w:tcPr>
          <w:p w14:paraId="2B827119" w14:textId="77777777" w:rsidR="007D6EA2" w:rsidRPr="004A20D6" w:rsidRDefault="007D6EA2" w:rsidP="007D6EA2">
            <w:pPr>
              <w:rPr>
                <w:rFonts w:ascii="Arial Narrow" w:hAnsi="Arial Narrow" w:cs="Calibri"/>
                <w:spacing w:val="-2"/>
                <w:sz w:val="20"/>
                <w:szCs w:val="20"/>
              </w:rPr>
            </w:pPr>
          </w:p>
        </w:tc>
      </w:tr>
      <w:tr w:rsidR="007D6EA2" w:rsidRPr="004A20D6" w14:paraId="13CE660E" w14:textId="77777777" w:rsidTr="007D6EA2">
        <w:tc>
          <w:tcPr>
            <w:tcW w:w="993" w:type="dxa"/>
            <w:vMerge/>
            <w:tcMar>
              <w:top w:w="17" w:type="dxa"/>
              <w:bottom w:w="17" w:type="dxa"/>
              <w:right w:w="28" w:type="dxa"/>
            </w:tcMar>
            <w:vAlign w:val="center"/>
            <w:hideMark/>
          </w:tcPr>
          <w:p w14:paraId="2B462FED"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3EA96C4B"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auto" w:fill="DBE5F1" w:themeFill="accent1" w:themeFillTint="33"/>
            <w:tcMar>
              <w:top w:w="17" w:type="dxa"/>
              <w:bottom w:w="17" w:type="dxa"/>
              <w:right w:w="28" w:type="dxa"/>
            </w:tcMar>
            <w:vAlign w:val="center"/>
            <w:hideMark/>
          </w:tcPr>
          <w:p w14:paraId="04AC40E2"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DBE5F1" w:themeFill="accent1" w:themeFillTint="33"/>
            <w:tcMar>
              <w:top w:w="17" w:type="dxa"/>
              <w:bottom w:w="17" w:type="dxa"/>
              <w:right w:w="28" w:type="dxa"/>
            </w:tcMar>
            <w:vAlign w:val="center"/>
          </w:tcPr>
          <w:p w14:paraId="5F41C417"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18 246 050</w:t>
            </w:r>
          </w:p>
        </w:tc>
        <w:tc>
          <w:tcPr>
            <w:tcW w:w="1134" w:type="dxa"/>
            <w:shd w:val="clear" w:color="auto" w:fill="DBE5F1" w:themeFill="accent1" w:themeFillTint="33"/>
            <w:tcMar>
              <w:top w:w="17" w:type="dxa"/>
              <w:bottom w:w="17" w:type="dxa"/>
              <w:right w:w="28" w:type="dxa"/>
            </w:tcMar>
            <w:vAlign w:val="center"/>
          </w:tcPr>
          <w:p w14:paraId="790C83B7"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864 555</w:t>
            </w:r>
          </w:p>
        </w:tc>
        <w:tc>
          <w:tcPr>
            <w:tcW w:w="1276" w:type="dxa"/>
            <w:shd w:val="clear" w:color="auto" w:fill="DBE5F1" w:themeFill="accent1" w:themeFillTint="33"/>
            <w:tcMar>
              <w:top w:w="17" w:type="dxa"/>
              <w:bottom w:w="17" w:type="dxa"/>
              <w:right w:w="28" w:type="dxa"/>
            </w:tcMar>
            <w:vAlign w:val="center"/>
          </w:tcPr>
          <w:p w14:paraId="7025E9C1"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19 110 604</w:t>
            </w:r>
            <w:r w:rsidRPr="00F006A0">
              <w:rPr>
                <w:rFonts w:ascii="Arial Narrow" w:hAnsi="Arial Narrow" w:cs="Calibri"/>
                <w:spacing w:val="-2"/>
                <w:sz w:val="20"/>
                <w:szCs w:val="20"/>
              </w:rPr>
              <w:t xml:space="preserve">   </w:t>
            </w:r>
          </w:p>
        </w:tc>
        <w:tc>
          <w:tcPr>
            <w:tcW w:w="1985" w:type="dxa"/>
            <w:shd w:val="clear" w:color="auto" w:fill="DBE5F1" w:themeFill="accent1" w:themeFillTint="33"/>
            <w:vAlign w:val="center"/>
          </w:tcPr>
          <w:p w14:paraId="79858F11" w14:textId="77777777" w:rsidR="007D6EA2" w:rsidRPr="004A20D6" w:rsidRDefault="007D6EA2" w:rsidP="007D6EA2">
            <w:pPr>
              <w:rPr>
                <w:rFonts w:ascii="Arial Narrow" w:hAnsi="Arial Narrow" w:cs="Calibri"/>
                <w:spacing w:val="-2"/>
                <w:sz w:val="20"/>
                <w:szCs w:val="20"/>
              </w:rPr>
            </w:pPr>
          </w:p>
        </w:tc>
      </w:tr>
      <w:tr w:rsidR="007D6EA2" w:rsidRPr="004A20D6" w14:paraId="4683FDAF" w14:textId="77777777" w:rsidTr="007D6EA2">
        <w:tc>
          <w:tcPr>
            <w:tcW w:w="993" w:type="dxa"/>
            <w:vMerge/>
            <w:tcMar>
              <w:top w:w="17" w:type="dxa"/>
              <w:bottom w:w="17" w:type="dxa"/>
              <w:right w:w="28" w:type="dxa"/>
            </w:tcMar>
            <w:vAlign w:val="center"/>
            <w:hideMark/>
          </w:tcPr>
          <w:p w14:paraId="702DE9B2"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95B3D7" w:themeFill="accent1" w:themeFillTint="99"/>
            <w:tcMar>
              <w:top w:w="17" w:type="dxa"/>
              <w:bottom w:w="17" w:type="dxa"/>
              <w:right w:w="28" w:type="dxa"/>
            </w:tcMar>
            <w:vAlign w:val="center"/>
            <w:hideMark/>
          </w:tcPr>
          <w:p w14:paraId="2C6B3DDD"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5B3D7" w:themeFill="accent1" w:themeFillTint="99"/>
            <w:tcMar>
              <w:top w:w="17" w:type="dxa"/>
              <w:bottom w:w="17" w:type="dxa"/>
              <w:right w:w="28" w:type="dxa"/>
            </w:tcMar>
            <w:vAlign w:val="center"/>
            <w:hideMark/>
          </w:tcPr>
          <w:p w14:paraId="293105DA"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5B3D7" w:themeFill="accent1" w:themeFillTint="99"/>
            <w:tcMar>
              <w:top w:w="17" w:type="dxa"/>
              <w:bottom w:w="17" w:type="dxa"/>
              <w:right w:w="28" w:type="dxa"/>
            </w:tcMar>
            <w:vAlign w:val="center"/>
          </w:tcPr>
          <w:p w14:paraId="58BA495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281 428 710</w:t>
            </w:r>
          </w:p>
        </w:tc>
        <w:tc>
          <w:tcPr>
            <w:tcW w:w="1134" w:type="dxa"/>
            <w:shd w:val="clear" w:color="auto" w:fill="95B3D7" w:themeFill="accent1" w:themeFillTint="99"/>
            <w:tcMar>
              <w:top w:w="17" w:type="dxa"/>
              <w:bottom w:w="17" w:type="dxa"/>
              <w:right w:w="28" w:type="dxa"/>
            </w:tcMar>
            <w:vAlign w:val="center"/>
          </w:tcPr>
          <w:p w14:paraId="7D9D9ECB"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74 876 125</w:t>
            </w:r>
          </w:p>
        </w:tc>
        <w:tc>
          <w:tcPr>
            <w:tcW w:w="1276" w:type="dxa"/>
            <w:shd w:val="clear" w:color="auto" w:fill="95B3D7" w:themeFill="accent1" w:themeFillTint="99"/>
            <w:tcMar>
              <w:top w:w="17" w:type="dxa"/>
              <w:bottom w:w="17" w:type="dxa"/>
              <w:right w:w="28" w:type="dxa"/>
            </w:tcMar>
            <w:vAlign w:val="center"/>
          </w:tcPr>
          <w:p w14:paraId="22E1D76C"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356 304 834</w:t>
            </w:r>
            <w:r w:rsidRPr="00F006A0">
              <w:rPr>
                <w:rFonts w:ascii="Arial Narrow" w:hAnsi="Arial Narrow" w:cs="Calibri"/>
                <w:spacing w:val="-2"/>
                <w:sz w:val="20"/>
                <w:szCs w:val="20"/>
              </w:rPr>
              <w:t xml:space="preserve"> </w:t>
            </w:r>
          </w:p>
        </w:tc>
        <w:tc>
          <w:tcPr>
            <w:tcW w:w="1985" w:type="dxa"/>
            <w:shd w:val="clear" w:color="auto" w:fill="95B3D7" w:themeFill="accent1" w:themeFillTint="99"/>
            <w:vAlign w:val="center"/>
          </w:tcPr>
          <w:p w14:paraId="4D11FF82" w14:textId="77777777" w:rsidR="007D6EA2" w:rsidRPr="004A20D6" w:rsidRDefault="007D6EA2" w:rsidP="007D6EA2">
            <w:pPr>
              <w:rPr>
                <w:rFonts w:ascii="Arial Narrow" w:hAnsi="Arial Narrow" w:cs="Calibri"/>
                <w:spacing w:val="-2"/>
                <w:sz w:val="20"/>
                <w:szCs w:val="20"/>
              </w:rPr>
            </w:pPr>
          </w:p>
        </w:tc>
      </w:tr>
      <w:tr w:rsidR="007D6EA2" w:rsidRPr="004A20D6" w14:paraId="77B874A1" w14:textId="77777777" w:rsidTr="007D6EA2">
        <w:tc>
          <w:tcPr>
            <w:tcW w:w="993" w:type="dxa"/>
            <w:vMerge w:val="restart"/>
            <w:shd w:val="clear" w:color="auto" w:fill="FFFFFF" w:themeFill="background1"/>
            <w:tcMar>
              <w:top w:w="17" w:type="dxa"/>
              <w:bottom w:w="17" w:type="dxa"/>
              <w:right w:w="28" w:type="dxa"/>
            </w:tcMar>
            <w:vAlign w:val="center"/>
            <w:hideMark/>
          </w:tcPr>
          <w:p w14:paraId="50A80C26"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2. </w:t>
            </w:r>
          </w:p>
          <w:p w14:paraId="59E6E505"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Ľahší prístup k efektívnym a kvalitnejším službám</w:t>
            </w:r>
          </w:p>
        </w:tc>
        <w:tc>
          <w:tcPr>
            <w:tcW w:w="3119" w:type="dxa"/>
            <w:vMerge w:val="restart"/>
            <w:shd w:val="clear" w:color="auto" w:fill="FFFFFF" w:themeFill="background1"/>
            <w:tcMar>
              <w:top w:w="17" w:type="dxa"/>
              <w:bottom w:w="17" w:type="dxa"/>
              <w:right w:w="28" w:type="dxa"/>
            </w:tcMar>
            <w:vAlign w:val="center"/>
            <w:hideMark/>
          </w:tcPr>
          <w:p w14:paraId="09ECDB25"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2.1.1</w:t>
            </w:r>
            <w:r>
              <w:rPr>
                <w:rFonts w:ascii="Arial Narrow" w:hAnsi="Arial Narrow" w:cs="Calibri"/>
                <w:spacing w:val="-2"/>
                <w:sz w:val="20"/>
                <w:szCs w:val="20"/>
              </w:rPr>
              <w:t>.</w:t>
            </w:r>
            <w:r w:rsidRPr="00BE67DE">
              <w:rPr>
                <w:rFonts w:ascii="Arial Narrow" w:hAnsi="Arial Narrow" w:cs="Calibri"/>
                <w:spacing w:val="-2"/>
                <w:sz w:val="20"/>
                <w:szCs w:val="20"/>
              </w:rPr>
              <w:t xml:space="preserve"> Komunitné služby</w:t>
            </w:r>
          </w:p>
        </w:tc>
        <w:tc>
          <w:tcPr>
            <w:tcW w:w="850" w:type="dxa"/>
            <w:shd w:val="clear" w:color="auto" w:fill="FFFFFF" w:themeFill="background1"/>
            <w:tcMar>
              <w:top w:w="17" w:type="dxa"/>
              <w:bottom w:w="17" w:type="dxa"/>
              <w:right w:w="28" w:type="dxa"/>
            </w:tcMar>
            <w:vAlign w:val="center"/>
            <w:hideMark/>
          </w:tcPr>
          <w:p w14:paraId="5E9FC440"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3238B2BA"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55 100 269</w:t>
            </w:r>
          </w:p>
        </w:tc>
        <w:tc>
          <w:tcPr>
            <w:tcW w:w="1134" w:type="dxa"/>
            <w:shd w:val="clear" w:color="auto" w:fill="FFFFFF" w:themeFill="background1"/>
            <w:tcMar>
              <w:top w:w="17" w:type="dxa"/>
              <w:bottom w:w="17" w:type="dxa"/>
              <w:right w:w="28" w:type="dxa"/>
            </w:tcMar>
            <w:vAlign w:val="center"/>
          </w:tcPr>
          <w:p w14:paraId="442D5D7D"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-6 243 261</w:t>
            </w:r>
          </w:p>
        </w:tc>
        <w:tc>
          <w:tcPr>
            <w:tcW w:w="1276" w:type="dxa"/>
            <w:shd w:val="clear" w:color="auto" w:fill="FFFFFF" w:themeFill="background1"/>
            <w:tcMar>
              <w:top w:w="17" w:type="dxa"/>
              <w:bottom w:w="17" w:type="dxa"/>
              <w:right w:w="28" w:type="dxa"/>
            </w:tcMar>
            <w:vAlign w:val="center"/>
          </w:tcPr>
          <w:p w14:paraId="1B686F09"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48 857 008</w:t>
            </w:r>
          </w:p>
        </w:tc>
        <w:tc>
          <w:tcPr>
            <w:tcW w:w="1985" w:type="dxa"/>
            <w:shd w:val="clear" w:color="auto" w:fill="FFFFFF" w:themeFill="background1"/>
            <w:vAlign w:val="center"/>
          </w:tcPr>
          <w:p w14:paraId="107871F5"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7D6EA2" w:rsidRPr="004A20D6" w14:paraId="773CD75E" w14:textId="77777777" w:rsidTr="007D6EA2">
        <w:tc>
          <w:tcPr>
            <w:tcW w:w="993" w:type="dxa"/>
            <w:vMerge/>
            <w:shd w:val="clear" w:color="auto" w:fill="FFFFFF" w:themeFill="background1"/>
            <w:tcMar>
              <w:top w:w="17" w:type="dxa"/>
              <w:bottom w:w="17" w:type="dxa"/>
              <w:right w:w="28" w:type="dxa"/>
            </w:tcMar>
            <w:vAlign w:val="center"/>
            <w:hideMark/>
          </w:tcPr>
          <w:p w14:paraId="7A5F4044"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3331739B" w14:textId="77777777" w:rsidR="007D6EA2" w:rsidRPr="00BE67DE" w:rsidRDefault="007D6EA2" w:rsidP="007D6EA2">
            <w:pPr>
              <w:rPr>
                <w:rFonts w:ascii="Arial Narrow" w:hAnsi="Arial Narrow" w:cs="Calibri"/>
                <w:spacing w:val="-2"/>
                <w:sz w:val="20"/>
                <w:szCs w:val="20"/>
              </w:rPr>
            </w:pPr>
          </w:p>
        </w:tc>
        <w:tc>
          <w:tcPr>
            <w:tcW w:w="850" w:type="dxa"/>
            <w:shd w:val="clear" w:color="auto" w:fill="FFFFFF" w:themeFill="background1"/>
            <w:tcMar>
              <w:top w:w="17" w:type="dxa"/>
              <w:bottom w:w="17" w:type="dxa"/>
              <w:right w:w="28" w:type="dxa"/>
            </w:tcMar>
            <w:vAlign w:val="center"/>
            <w:hideMark/>
          </w:tcPr>
          <w:p w14:paraId="0B2CC160"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4F033EF7"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9 558 085</w:t>
            </w:r>
          </w:p>
        </w:tc>
        <w:tc>
          <w:tcPr>
            <w:tcW w:w="1134" w:type="dxa"/>
            <w:shd w:val="clear" w:color="auto" w:fill="FFFFFF" w:themeFill="background1"/>
            <w:tcMar>
              <w:top w:w="17" w:type="dxa"/>
              <w:bottom w:w="17" w:type="dxa"/>
              <w:right w:w="28" w:type="dxa"/>
            </w:tcMar>
            <w:vAlign w:val="center"/>
          </w:tcPr>
          <w:p w14:paraId="4A936152"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13096D98"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9 558 085</w:t>
            </w:r>
          </w:p>
        </w:tc>
        <w:tc>
          <w:tcPr>
            <w:tcW w:w="1985" w:type="dxa"/>
            <w:shd w:val="clear" w:color="auto" w:fill="FFFFFF" w:themeFill="background1"/>
            <w:vAlign w:val="center"/>
          </w:tcPr>
          <w:p w14:paraId="6BBE1BC9" w14:textId="77777777" w:rsidR="007D6EA2" w:rsidRPr="004A20D6" w:rsidDel="007F69DD" w:rsidRDefault="007D6EA2" w:rsidP="007D6EA2">
            <w:pPr>
              <w:rPr>
                <w:rFonts w:ascii="Arial Narrow" w:hAnsi="Arial Narrow" w:cs="Calibri"/>
                <w:spacing w:val="-2"/>
                <w:sz w:val="20"/>
                <w:szCs w:val="20"/>
              </w:rPr>
            </w:pPr>
          </w:p>
        </w:tc>
      </w:tr>
      <w:tr w:rsidR="007D6EA2" w:rsidRPr="004A20D6" w14:paraId="601A42EA" w14:textId="77777777" w:rsidTr="007D6EA2">
        <w:tc>
          <w:tcPr>
            <w:tcW w:w="993" w:type="dxa"/>
            <w:vMerge/>
            <w:shd w:val="clear" w:color="auto" w:fill="FFFFFF" w:themeFill="background1"/>
            <w:tcMar>
              <w:top w:w="17" w:type="dxa"/>
              <w:bottom w:w="17" w:type="dxa"/>
              <w:right w:w="28" w:type="dxa"/>
            </w:tcMar>
            <w:vAlign w:val="center"/>
            <w:hideMark/>
          </w:tcPr>
          <w:p w14:paraId="741F19F8"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683443CA"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2.1.2</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Centrá integrovanej zdravotnej starostlivosti</w:t>
            </w:r>
          </w:p>
        </w:tc>
        <w:tc>
          <w:tcPr>
            <w:tcW w:w="850" w:type="dxa"/>
            <w:shd w:val="clear" w:color="auto" w:fill="FFFFFF" w:themeFill="background1"/>
            <w:tcMar>
              <w:top w:w="17" w:type="dxa"/>
              <w:bottom w:w="17" w:type="dxa"/>
              <w:right w:w="28" w:type="dxa"/>
            </w:tcMar>
            <w:vAlign w:val="center"/>
            <w:hideMark/>
          </w:tcPr>
          <w:p w14:paraId="38199099"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47CD0CDB"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53 388 007</w:t>
            </w:r>
          </w:p>
        </w:tc>
        <w:tc>
          <w:tcPr>
            <w:tcW w:w="1134" w:type="dxa"/>
            <w:shd w:val="clear" w:color="auto" w:fill="FFFFFF" w:themeFill="background1"/>
            <w:tcMar>
              <w:top w:w="17" w:type="dxa"/>
              <w:bottom w:w="17" w:type="dxa"/>
              <w:right w:w="28" w:type="dxa"/>
            </w:tcMar>
            <w:vAlign w:val="center"/>
          </w:tcPr>
          <w:p w14:paraId="20730E2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78F25A16"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53 388 007</w:t>
            </w:r>
          </w:p>
        </w:tc>
        <w:tc>
          <w:tcPr>
            <w:tcW w:w="1985" w:type="dxa"/>
            <w:shd w:val="clear" w:color="auto" w:fill="FFFFFF" w:themeFill="background1"/>
            <w:vAlign w:val="center"/>
          </w:tcPr>
          <w:p w14:paraId="0476E420" w14:textId="77777777" w:rsidR="007D6EA2" w:rsidRPr="004A20D6" w:rsidRDefault="007D6EA2" w:rsidP="007D6EA2">
            <w:pPr>
              <w:rPr>
                <w:rFonts w:ascii="Arial Narrow" w:hAnsi="Arial Narrow" w:cs="Calibri"/>
                <w:spacing w:val="-2"/>
                <w:sz w:val="20"/>
                <w:szCs w:val="20"/>
              </w:rPr>
            </w:pPr>
          </w:p>
        </w:tc>
      </w:tr>
      <w:tr w:rsidR="007D6EA2" w:rsidRPr="004A20D6" w14:paraId="6CEBE760" w14:textId="77777777" w:rsidTr="007D6EA2">
        <w:tc>
          <w:tcPr>
            <w:tcW w:w="993" w:type="dxa"/>
            <w:vMerge/>
            <w:shd w:val="clear" w:color="auto" w:fill="FFFFFF" w:themeFill="background1"/>
            <w:tcMar>
              <w:top w:w="17" w:type="dxa"/>
              <w:bottom w:w="17" w:type="dxa"/>
              <w:right w:w="28" w:type="dxa"/>
            </w:tcMar>
            <w:vAlign w:val="center"/>
            <w:hideMark/>
          </w:tcPr>
          <w:p w14:paraId="6A85FA0D"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30D6A5E8"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35A77F50"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75CBE538"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134" w:type="dxa"/>
            <w:shd w:val="clear" w:color="auto" w:fill="FFFFFF" w:themeFill="background1"/>
            <w:tcMar>
              <w:top w:w="17" w:type="dxa"/>
              <w:bottom w:w="17" w:type="dxa"/>
              <w:right w:w="28" w:type="dxa"/>
            </w:tcMar>
            <w:vAlign w:val="center"/>
          </w:tcPr>
          <w:p w14:paraId="2A258849"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7CEA2491"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985" w:type="dxa"/>
            <w:shd w:val="clear" w:color="auto" w:fill="FFFFFF" w:themeFill="background1"/>
            <w:vAlign w:val="center"/>
          </w:tcPr>
          <w:p w14:paraId="3D89DCE4" w14:textId="77777777" w:rsidR="007D6EA2" w:rsidRPr="004A20D6" w:rsidRDefault="007D6EA2" w:rsidP="007D6EA2">
            <w:pPr>
              <w:rPr>
                <w:rFonts w:ascii="Arial Narrow" w:hAnsi="Arial Narrow" w:cs="Calibri"/>
                <w:spacing w:val="-2"/>
                <w:sz w:val="20"/>
                <w:szCs w:val="20"/>
              </w:rPr>
            </w:pPr>
          </w:p>
        </w:tc>
      </w:tr>
      <w:tr w:rsidR="007D6EA2" w:rsidRPr="004A20D6" w14:paraId="0B1D7938" w14:textId="77777777" w:rsidTr="007D6EA2">
        <w:tc>
          <w:tcPr>
            <w:tcW w:w="993" w:type="dxa"/>
            <w:vMerge/>
            <w:shd w:val="clear" w:color="auto" w:fill="FFFFFF" w:themeFill="background1"/>
            <w:tcMar>
              <w:top w:w="17" w:type="dxa"/>
              <w:bottom w:w="17" w:type="dxa"/>
              <w:right w:w="28" w:type="dxa"/>
            </w:tcMar>
            <w:vAlign w:val="center"/>
            <w:hideMark/>
          </w:tcPr>
          <w:p w14:paraId="311831D5"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083C77D9"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2.1.3</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Nemocnice</w:t>
            </w:r>
          </w:p>
        </w:tc>
        <w:tc>
          <w:tcPr>
            <w:tcW w:w="850" w:type="dxa"/>
            <w:shd w:val="clear" w:color="auto" w:fill="FFFFFF" w:themeFill="background1"/>
            <w:tcMar>
              <w:top w:w="17" w:type="dxa"/>
              <w:bottom w:w="17" w:type="dxa"/>
              <w:right w:w="28" w:type="dxa"/>
            </w:tcMar>
            <w:vAlign w:val="center"/>
            <w:hideMark/>
          </w:tcPr>
          <w:p w14:paraId="12CE6D8B"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144D1955"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162 618 791</w:t>
            </w:r>
          </w:p>
        </w:tc>
        <w:tc>
          <w:tcPr>
            <w:tcW w:w="1134" w:type="dxa"/>
            <w:shd w:val="clear" w:color="auto" w:fill="FFFFFF" w:themeFill="background1"/>
            <w:tcMar>
              <w:top w:w="17" w:type="dxa"/>
              <w:bottom w:w="17" w:type="dxa"/>
              <w:right w:w="28" w:type="dxa"/>
            </w:tcMar>
            <w:vAlign w:val="center"/>
          </w:tcPr>
          <w:p w14:paraId="6CD18F51"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3E741488"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162 618 791</w:t>
            </w:r>
          </w:p>
        </w:tc>
        <w:tc>
          <w:tcPr>
            <w:tcW w:w="1985" w:type="dxa"/>
            <w:shd w:val="clear" w:color="auto" w:fill="FFFFFF" w:themeFill="background1"/>
            <w:vAlign w:val="center"/>
          </w:tcPr>
          <w:p w14:paraId="064473DC" w14:textId="77777777" w:rsidR="007D6EA2" w:rsidRPr="004A20D6" w:rsidRDefault="007D6EA2" w:rsidP="007D6EA2">
            <w:pPr>
              <w:rPr>
                <w:rFonts w:ascii="Arial Narrow" w:hAnsi="Arial Narrow" w:cs="Calibri"/>
                <w:spacing w:val="-2"/>
                <w:sz w:val="20"/>
                <w:szCs w:val="20"/>
              </w:rPr>
            </w:pPr>
          </w:p>
        </w:tc>
      </w:tr>
      <w:tr w:rsidR="007D6EA2" w:rsidRPr="004A20D6" w14:paraId="7AD7E010" w14:textId="77777777" w:rsidTr="007D6EA2">
        <w:tc>
          <w:tcPr>
            <w:tcW w:w="993" w:type="dxa"/>
            <w:vMerge/>
            <w:shd w:val="clear" w:color="auto" w:fill="FFFFFF" w:themeFill="background1"/>
            <w:tcMar>
              <w:top w:w="17" w:type="dxa"/>
              <w:bottom w:w="17" w:type="dxa"/>
              <w:right w:w="28" w:type="dxa"/>
            </w:tcMar>
            <w:vAlign w:val="center"/>
            <w:hideMark/>
          </w:tcPr>
          <w:p w14:paraId="04C018F6"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588A5102"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4D52AA0B"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77524C8C"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134" w:type="dxa"/>
            <w:shd w:val="clear" w:color="auto" w:fill="FFFFFF" w:themeFill="background1"/>
            <w:tcMar>
              <w:top w:w="17" w:type="dxa"/>
              <w:bottom w:w="17" w:type="dxa"/>
              <w:right w:w="28" w:type="dxa"/>
            </w:tcMar>
            <w:vAlign w:val="center"/>
          </w:tcPr>
          <w:p w14:paraId="2B4F8DEC"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26046257"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985" w:type="dxa"/>
            <w:shd w:val="clear" w:color="auto" w:fill="FFFFFF" w:themeFill="background1"/>
            <w:vAlign w:val="center"/>
          </w:tcPr>
          <w:p w14:paraId="113D61A6" w14:textId="77777777" w:rsidR="007D6EA2" w:rsidRPr="004A20D6" w:rsidRDefault="007D6EA2" w:rsidP="007D6EA2">
            <w:pPr>
              <w:rPr>
                <w:rFonts w:ascii="Arial Narrow" w:hAnsi="Arial Narrow" w:cs="Calibri"/>
                <w:spacing w:val="-2"/>
                <w:sz w:val="20"/>
                <w:szCs w:val="20"/>
              </w:rPr>
            </w:pPr>
          </w:p>
        </w:tc>
      </w:tr>
      <w:tr w:rsidR="007D6EA2" w:rsidRPr="004A20D6" w14:paraId="78F2C18C" w14:textId="77777777" w:rsidTr="007D6EA2">
        <w:tc>
          <w:tcPr>
            <w:tcW w:w="993" w:type="dxa"/>
            <w:vMerge/>
            <w:shd w:val="clear" w:color="auto" w:fill="FFFFFF" w:themeFill="background1"/>
            <w:tcMar>
              <w:top w:w="17" w:type="dxa"/>
              <w:bottom w:w="17" w:type="dxa"/>
              <w:right w:w="28" w:type="dxa"/>
            </w:tcMar>
            <w:vAlign w:val="center"/>
          </w:tcPr>
          <w:p w14:paraId="46BBBFF2"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tcPr>
          <w:p w14:paraId="2BBF83C0"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2.1.4</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Posilnenie kapacít v zdravotníckom systéme a ochrana verejného zdravia ako</w:t>
            </w:r>
            <w:r w:rsidRPr="004A20D6">
              <w:rPr>
                <w:rFonts w:ascii="Arial Narrow" w:hAnsi="Arial Narrow" w:cs="Calibri"/>
                <w:color w:val="000000"/>
                <w:spacing w:val="-2"/>
                <w:sz w:val="20"/>
                <w:szCs w:val="20"/>
              </w:rPr>
              <w:t> </w:t>
            </w:r>
            <w:r w:rsidRPr="00BE67DE">
              <w:rPr>
                <w:rFonts w:ascii="Arial Narrow" w:hAnsi="Arial Narrow" w:cs="Calibri"/>
                <w:color w:val="000000"/>
                <w:spacing w:val="-2"/>
                <w:sz w:val="20"/>
                <w:szCs w:val="20"/>
              </w:rPr>
              <w:t>reakciu na pandémiu COVID-19</w:t>
            </w:r>
          </w:p>
        </w:tc>
        <w:tc>
          <w:tcPr>
            <w:tcW w:w="850" w:type="dxa"/>
            <w:shd w:val="clear" w:color="auto" w:fill="auto"/>
            <w:tcMar>
              <w:top w:w="17" w:type="dxa"/>
              <w:bottom w:w="17" w:type="dxa"/>
              <w:right w:w="28" w:type="dxa"/>
            </w:tcMar>
            <w:vAlign w:val="center"/>
          </w:tcPr>
          <w:p w14:paraId="6D2E389C"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213EAD0A"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108 112 570</w:t>
            </w:r>
          </w:p>
        </w:tc>
        <w:tc>
          <w:tcPr>
            <w:tcW w:w="1134" w:type="dxa"/>
            <w:shd w:val="clear" w:color="auto" w:fill="auto"/>
            <w:tcMar>
              <w:top w:w="17" w:type="dxa"/>
              <w:bottom w:w="17" w:type="dxa"/>
              <w:right w:w="28" w:type="dxa"/>
            </w:tcMar>
            <w:vAlign w:val="center"/>
          </w:tcPr>
          <w:p w14:paraId="7C810F8D"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7E3E99E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108 112 570</w:t>
            </w:r>
          </w:p>
        </w:tc>
        <w:tc>
          <w:tcPr>
            <w:tcW w:w="1985" w:type="dxa"/>
            <w:vAlign w:val="center"/>
          </w:tcPr>
          <w:p w14:paraId="42A2C1D4" w14:textId="77777777" w:rsidR="007D6EA2" w:rsidRPr="004A20D6" w:rsidRDefault="007D6EA2" w:rsidP="007D6EA2">
            <w:pPr>
              <w:rPr>
                <w:rFonts w:ascii="Arial Narrow" w:hAnsi="Arial Narrow" w:cs="Calibri"/>
                <w:spacing w:val="-2"/>
                <w:sz w:val="20"/>
                <w:szCs w:val="20"/>
              </w:rPr>
            </w:pPr>
          </w:p>
        </w:tc>
      </w:tr>
      <w:tr w:rsidR="007D6EA2" w:rsidRPr="004A20D6" w14:paraId="53146A19" w14:textId="77777777" w:rsidTr="007D6EA2">
        <w:tc>
          <w:tcPr>
            <w:tcW w:w="993" w:type="dxa"/>
            <w:vMerge/>
            <w:shd w:val="clear" w:color="auto" w:fill="FFFFFF" w:themeFill="background1"/>
            <w:tcMar>
              <w:top w:w="17" w:type="dxa"/>
              <w:bottom w:w="17" w:type="dxa"/>
              <w:right w:w="28" w:type="dxa"/>
            </w:tcMar>
            <w:vAlign w:val="center"/>
          </w:tcPr>
          <w:p w14:paraId="13F80868"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tcPr>
          <w:p w14:paraId="2D672AAA" w14:textId="77777777" w:rsidR="007D6EA2" w:rsidRPr="00BE67DE" w:rsidRDefault="007D6EA2" w:rsidP="007D6EA2">
            <w:pPr>
              <w:rPr>
                <w:rFonts w:ascii="Arial Narrow" w:hAnsi="Arial Narrow" w:cs="Calibri"/>
                <w:color w:val="000000"/>
                <w:spacing w:val="-2"/>
                <w:sz w:val="20"/>
                <w:szCs w:val="20"/>
                <w:highlight w:val="yellow"/>
              </w:rPr>
            </w:pPr>
          </w:p>
        </w:tc>
        <w:tc>
          <w:tcPr>
            <w:tcW w:w="850" w:type="dxa"/>
            <w:shd w:val="clear" w:color="auto" w:fill="auto"/>
            <w:tcMar>
              <w:top w:w="17" w:type="dxa"/>
              <w:bottom w:w="17" w:type="dxa"/>
              <w:right w:w="28" w:type="dxa"/>
            </w:tcMar>
            <w:vAlign w:val="center"/>
          </w:tcPr>
          <w:p w14:paraId="69DC8E07"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4D418D51"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31 763 121</w:t>
            </w:r>
          </w:p>
        </w:tc>
        <w:tc>
          <w:tcPr>
            <w:tcW w:w="1134" w:type="dxa"/>
            <w:shd w:val="clear" w:color="auto" w:fill="auto"/>
            <w:tcMar>
              <w:top w:w="17" w:type="dxa"/>
              <w:bottom w:w="17" w:type="dxa"/>
              <w:right w:w="28" w:type="dxa"/>
            </w:tcMar>
            <w:vAlign w:val="center"/>
          </w:tcPr>
          <w:p w14:paraId="66D7300B" w14:textId="77777777" w:rsidR="007D6EA2" w:rsidRPr="00546374" w:rsidRDefault="007D6EA2" w:rsidP="007D6EA2">
            <w:pPr>
              <w:ind w:right="28"/>
              <w:jc w:val="right"/>
              <w:rPr>
                <w:rFonts w:ascii="Arial Narrow" w:hAnsi="Arial Narrow" w:cs="Calibri"/>
                <w:color w:val="000000"/>
                <w:spacing w:val="-2"/>
                <w:sz w:val="20"/>
                <w:szCs w:val="20"/>
              </w:rPr>
            </w:pPr>
            <w:r w:rsidRPr="00546374">
              <w:rPr>
                <w:rFonts w:ascii="Arial Narrow" w:hAnsi="Arial Narrow" w:cs="Calibri"/>
                <w:color w:val="000000"/>
                <w:spacing w:val="-2"/>
                <w:sz w:val="20"/>
                <w:szCs w:val="20"/>
              </w:rPr>
              <w:t>-15 405 000</w:t>
            </w:r>
          </w:p>
        </w:tc>
        <w:tc>
          <w:tcPr>
            <w:tcW w:w="1276" w:type="dxa"/>
            <w:shd w:val="clear" w:color="auto" w:fill="auto"/>
            <w:tcMar>
              <w:top w:w="17" w:type="dxa"/>
              <w:bottom w:w="17" w:type="dxa"/>
              <w:right w:w="28" w:type="dxa"/>
            </w:tcMar>
            <w:vAlign w:val="center"/>
          </w:tcPr>
          <w:p w14:paraId="685B0B1B" w14:textId="77777777" w:rsidR="007D6EA2" w:rsidRPr="004A20D6" w:rsidRDefault="007D6EA2" w:rsidP="007D6EA2">
            <w:pPr>
              <w:ind w:right="28"/>
              <w:jc w:val="right"/>
              <w:rPr>
                <w:rFonts w:ascii="Arial Narrow" w:hAnsi="Arial Narrow" w:cs="Calibri"/>
                <w:spacing w:val="-2"/>
                <w:sz w:val="20"/>
                <w:szCs w:val="20"/>
              </w:rPr>
            </w:pPr>
            <w:r w:rsidRPr="00546374">
              <w:rPr>
                <w:rFonts w:ascii="Arial Narrow" w:hAnsi="Arial Narrow" w:cs="Calibri"/>
                <w:spacing w:val="-2"/>
                <w:sz w:val="20"/>
                <w:szCs w:val="20"/>
              </w:rPr>
              <w:t>16 358 121</w:t>
            </w:r>
          </w:p>
        </w:tc>
        <w:tc>
          <w:tcPr>
            <w:tcW w:w="1985" w:type="dxa"/>
            <w:vAlign w:val="center"/>
          </w:tcPr>
          <w:p w14:paraId="07C60758" w14:textId="77777777" w:rsidR="007D6EA2" w:rsidRPr="004A20D6" w:rsidDel="007F69DD" w:rsidRDefault="007D6EA2" w:rsidP="007D6EA2">
            <w:pPr>
              <w:rPr>
                <w:rFonts w:ascii="Arial Narrow" w:hAnsi="Arial Narrow" w:cs="Calibri"/>
                <w:spacing w:val="-2"/>
                <w:sz w:val="20"/>
                <w:szCs w:val="20"/>
              </w:rPr>
            </w:pPr>
            <w:r>
              <w:rPr>
                <w:rFonts w:ascii="Arial Narrow" w:hAnsi="Arial Narrow" w:cs="Calibri"/>
                <w:spacing w:val="-2"/>
                <w:sz w:val="20"/>
                <w:szCs w:val="20"/>
              </w:rPr>
              <w:t>Presun do ŠC 2.2.1.</w:t>
            </w:r>
          </w:p>
        </w:tc>
      </w:tr>
      <w:tr w:rsidR="007D6EA2" w:rsidRPr="004A20D6" w14:paraId="19AA59D9" w14:textId="77777777" w:rsidTr="007D6EA2">
        <w:tc>
          <w:tcPr>
            <w:tcW w:w="993" w:type="dxa"/>
            <w:vMerge/>
            <w:shd w:val="clear" w:color="auto" w:fill="FFFFFF" w:themeFill="background1"/>
            <w:tcMar>
              <w:top w:w="17" w:type="dxa"/>
              <w:bottom w:w="17" w:type="dxa"/>
              <w:right w:w="28" w:type="dxa"/>
            </w:tcMar>
            <w:vAlign w:val="center"/>
            <w:hideMark/>
          </w:tcPr>
          <w:p w14:paraId="51372496"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4B8370B9"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2.2.1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Materské školy</w:t>
            </w:r>
          </w:p>
        </w:tc>
        <w:tc>
          <w:tcPr>
            <w:tcW w:w="850" w:type="dxa"/>
            <w:shd w:val="clear" w:color="auto" w:fill="FFFFFF" w:themeFill="background1"/>
            <w:tcMar>
              <w:top w:w="17" w:type="dxa"/>
              <w:bottom w:w="17" w:type="dxa"/>
              <w:right w:w="28" w:type="dxa"/>
            </w:tcMar>
            <w:vAlign w:val="center"/>
            <w:hideMark/>
          </w:tcPr>
          <w:p w14:paraId="0C884812"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63418C5D"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56</w:t>
            </w:r>
            <w:r w:rsidRPr="00EB1889">
              <w:rPr>
                <w:rFonts w:ascii="Arial Narrow" w:hAnsi="Arial Narrow" w:cs="Calibri"/>
                <w:color w:val="000000"/>
                <w:spacing w:val="-2"/>
                <w:sz w:val="20"/>
                <w:szCs w:val="20"/>
              </w:rPr>
              <w:t xml:space="preserve"> 469 279</w:t>
            </w:r>
          </w:p>
        </w:tc>
        <w:tc>
          <w:tcPr>
            <w:tcW w:w="1134" w:type="dxa"/>
            <w:shd w:val="clear" w:color="auto" w:fill="FFFFFF" w:themeFill="background1"/>
            <w:tcMar>
              <w:top w:w="17" w:type="dxa"/>
              <w:bottom w:w="17" w:type="dxa"/>
              <w:right w:w="28" w:type="dxa"/>
            </w:tcMar>
            <w:vAlign w:val="center"/>
          </w:tcPr>
          <w:p w14:paraId="64B2C3F8"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3914E86C"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56</w:t>
            </w:r>
            <w:r w:rsidRPr="00EB1889">
              <w:rPr>
                <w:rFonts w:ascii="Arial Narrow" w:hAnsi="Arial Narrow" w:cs="Calibri"/>
                <w:color w:val="000000"/>
                <w:spacing w:val="-2"/>
                <w:sz w:val="20"/>
                <w:szCs w:val="20"/>
              </w:rPr>
              <w:t xml:space="preserve"> 469 279</w:t>
            </w:r>
          </w:p>
        </w:tc>
        <w:tc>
          <w:tcPr>
            <w:tcW w:w="1985" w:type="dxa"/>
            <w:shd w:val="clear" w:color="auto" w:fill="FFFFFF" w:themeFill="background1"/>
            <w:vAlign w:val="center"/>
          </w:tcPr>
          <w:p w14:paraId="72253D37" w14:textId="77777777" w:rsidR="007D6EA2" w:rsidRPr="004A20D6" w:rsidRDefault="007D6EA2" w:rsidP="007D6EA2">
            <w:pPr>
              <w:rPr>
                <w:rFonts w:ascii="Arial Narrow" w:hAnsi="Arial Narrow" w:cs="Calibri"/>
                <w:spacing w:val="-2"/>
                <w:sz w:val="20"/>
                <w:szCs w:val="20"/>
              </w:rPr>
            </w:pPr>
          </w:p>
        </w:tc>
      </w:tr>
      <w:tr w:rsidR="007D6EA2" w:rsidRPr="004A20D6" w14:paraId="325A9FC9" w14:textId="77777777" w:rsidTr="007D6EA2">
        <w:tc>
          <w:tcPr>
            <w:tcW w:w="993" w:type="dxa"/>
            <w:vMerge/>
            <w:shd w:val="clear" w:color="auto" w:fill="FFFFFF" w:themeFill="background1"/>
            <w:tcMar>
              <w:top w:w="17" w:type="dxa"/>
              <w:bottom w:w="17" w:type="dxa"/>
              <w:right w:w="28" w:type="dxa"/>
            </w:tcMar>
            <w:vAlign w:val="center"/>
            <w:hideMark/>
          </w:tcPr>
          <w:p w14:paraId="37459ED8"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04EB831D"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5A119D51"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70CD0596"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15 503 209</w:t>
            </w:r>
          </w:p>
        </w:tc>
        <w:tc>
          <w:tcPr>
            <w:tcW w:w="1134" w:type="dxa"/>
            <w:shd w:val="clear" w:color="auto" w:fill="FFFFFF" w:themeFill="background1"/>
            <w:tcMar>
              <w:top w:w="17" w:type="dxa"/>
              <w:bottom w:w="17" w:type="dxa"/>
              <w:right w:w="28" w:type="dxa"/>
            </w:tcMar>
            <w:vAlign w:val="center"/>
          </w:tcPr>
          <w:p w14:paraId="045C518B"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w:t>
            </w:r>
            <w:r w:rsidRPr="00546374">
              <w:rPr>
                <w:rFonts w:ascii="Arial Narrow" w:hAnsi="Arial Narrow" w:cs="Calibri"/>
                <w:color w:val="000000"/>
                <w:spacing w:val="-2"/>
                <w:sz w:val="20"/>
                <w:szCs w:val="20"/>
              </w:rPr>
              <w:t>15 405 000</w:t>
            </w:r>
          </w:p>
        </w:tc>
        <w:tc>
          <w:tcPr>
            <w:tcW w:w="1276" w:type="dxa"/>
            <w:shd w:val="clear" w:color="auto" w:fill="FFFFFF" w:themeFill="background1"/>
            <w:tcMar>
              <w:top w:w="17" w:type="dxa"/>
              <w:bottom w:w="17" w:type="dxa"/>
              <w:right w:w="28" w:type="dxa"/>
            </w:tcMar>
            <w:vAlign w:val="center"/>
          </w:tcPr>
          <w:p w14:paraId="64B0F352"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30 908 209</w:t>
            </w:r>
          </w:p>
        </w:tc>
        <w:tc>
          <w:tcPr>
            <w:tcW w:w="1985" w:type="dxa"/>
            <w:shd w:val="clear" w:color="auto" w:fill="FFFFFF" w:themeFill="background1"/>
            <w:vAlign w:val="center"/>
          </w:tcPr>
          <w:p w14:paraId="737388F9"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zo ŠC 2.1.4.</w:t>
            </w:r>
          </w:p>
        </w:tc>
      </w:tr>
      <w:tr w:rsidR="007D6EA2" w:rsidRPr="004A20D6" w14:paraId="013E26C2" w14:textId="77777777" w:rsidTr="007D6EA2">
        <w:tc>
          <w:tcPr>
            <w:tcW w:w="993" w:type="dxa"/>
            <w:vMerge/>
            <w:shd w:val="clear" w:color="auto" w:fill="FFFFFF" w:themeFill="background1"/>
            <w:tcMar>
              <w:top w:w="17" w:type="dxa"/>
              <w:bottom w:w="17" w:type="dxa"/>
              <w:right w:w="28" w:type="dxa"/>
            </w:tcMar>
            <w:vAlign w:val="center"/>
            <w:hideMark/>
          </w:tcPr>
          <w:p w14:paraId="59B0A814"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692CDABC"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2.2.2</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Základné školy</w:t>
            </w:r>
          </w:p>
        </w:tc>
        <w:tc>
          <w:tcPr>
            <w:tcW w:w="850" w:type="dxa"/>
            <w:shd w:val="clear" w:color="auto" w:fill="FFFFFF" w:themeFill="background1"/>
            <w:tcMar>
              <w:top w:w="17" w:type="dxa"/>
              <w:bottom w:w="17" w:type="dxa"/>
              <w:right w:w="28" w:type="dxa"/>
            </w:tcMar>
            <w:vAlign w:val="center"/>
            <w:hideMark/>
          </w:tcPr>
          <w:p w14:paraId="78D04578"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6906115D"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31</w:t>
            </w:r>
            <w:r w:rsidRPr="00EB1889">
              <w:rPr>
                <w:rFonts w:ascii="Arial Narrow" w:hAnsi="Arial Narrow" w:cs="Calibri"/>
                <w:color w:val="000000"/>
                <w:spacing w:val="-2"/>
                <w:sz w:val="20"/>
                <w:szCs w:val="20"/>
              </w:rPr>
              <w:t xml:space="preserve"> 324 934</w:t>
            </w:r>
          </w:p>
        </w:tc>
        <w:tc>
          <w:tcPr>
            <w:tcW w:w="1134" w:type="dxa"/>
            <w:shd w:val="clear" w:color="auto" w:fill="FFFFFF" w:themeFill="background1"/>
            <w:tcMar>
              <w:top w:w="17" w:type="dxa"/>
              <w:bottom w:w="17" w:type="dxa"/>
              <w:right w:w="28" w:type="dxa"/>
            </w:tcMar>
            <w:vAlign w:val="center"/>
          </w:tcPr>
          <w:p w14:paraId="28D517E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12027061"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31</w:t>
            </w:r>
            <w:r w:rsidRPr="00EB1889">
              <w:rPr>
                <w:rFonts w:ascii="Arial Narrow" w:hAnsi="Arial Narrow" w:cs="Calibri"/>
                <w:color w:val="000000"/>
                <w:spacing w:val="-2"/>
                <w:sz w:val="20"/>
                <w:szCs w:val="20"/>
              </w:rPr>
              <w:t xml:space="preserve"> 324 934</w:t>
            </w:r>
          </w:p>
        </w:tc>
        <w:tc>
          <w:tcPr>
            <w:tcW w:w="1985" w:type="dxa"/>
            <w:shd w:val="clear" w:color="auto" w:fill="FFFFFF" w:themeFill="background1"/>
            <w:vAlign w:val="center"/>
          </w:tcPr>
          <w:p w14:paraId="029DF7F5" w14:textId="77777777" w:rsidR="007D6EA2" w:rsidRPr="004A20D6" w:rsidRDefault="007D6EA2" w:rsidP="007D6EA2">
            <w:pPr>
              <w:rPr>
                <w:rFonts w:ascii="Arial Narrow" w:hAnsi="Arial Narrow" w:cs="Calibri"/>
                <w:spacing w:val="-2"/>
                <w:sz w:val="20"/>
                <w:szCs w:val="20"/>
              </w:rPr>
            </w:pPr>
          </w:p>
        </w:tc>
      </w:tr>
      <w:tr w:rsidR="007D6EA2" w:rsidRPr="004A20D6" w14:paraId="602E5B85" w14:textId="77777777" w:rsidTr="007D6EA2">
        <w:tc>
          <w:tcPr>
            <w:tcW w:w="993" w:type="dxa"/>
            <w:vMerge/>
            <w:shd w:val="clear" w:color="auto" w:fill="FFFFFF" w:themeFill="background1"/>
            <w:tcMar>
              <w:top w:w="17" w:type="dxa"/>
              <w:bottom w:w="17" w:type="dxa"/>
              <w:right w:w="28" w:type="dxa"/>
            </w:tcMar>
            <w:vAlign w:val="center"/>
            <w:hideMark/>
          </w:tcPr>
          <w:p w14:paraId="48618F29"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61BDE896"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4D90A147"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4087F20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2 673 293</w:t>
            </w:r>
          </w:p>
        </w:tc>
        <w:tc>
          <w:tcPr>
            <w:tcW w:w="1134" w:type="dxa"/>
            <w:shd w:val="clear" w:color="auto" w:fill="FFFFFF" w:themeFill="background1"/>
            <w:tcMar>
              <w:top w:w="17" w:type="dxa"/>
              <w:bottom w:w="17" w:type="dxa"/>
              <w:right w:w="28" w:type="dxa"/>
            </w:tcMar>
            <w:vAlign w:val="center"/>
          </w:tcPr>
          <w:p w14:paraId="3A5C5966"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03DE5EA6"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2 673 293</w:t>
            </w:r>
          </w:p>
        </w:tc>
        <w:tc>
          <w:tcPr>
            <w:tcW w:w="1985" w:type="dxa"/>
            <w:shd w:val="clear" w:color="auto" w:fill="FFFFFF" w:themeFill="background1"/>
            <w:vAlign w:val="center"/>
          </w:tcPr>
          <w:p w14:paraId="04E1A973" w14:textId="77777777" w:rsidR="007D6EA2" w:rsidRPr="004A20D6" w:rsidRDefault="007D6EA2" w:rsidP="007D6EA2">
            <w:pPr>
              <w:rPr>
                <w:rFonts w:ascii="Arial Narrow" w:hAnsi="Arial Narrow" w:cs="Calibri"/>
                <w:spacing w:val="-2"/>
                <w:sz w:val="20"/>
                <w:szCs w:val="20"/>
              </w:rPr>
            </w:pPr>
          </w:p>
        </w:tc>
      </w:tr>
      <w:tr w:rsidR="007D6EA2" w:rsidRPr="004A20D6" w14:paraId="7E80E8BE" w14:textId="77777777" w:rsidTr="007D6EA2">
        <w:tc>
          <w:tcPr>
            <w:tcW w:w="993" w:type="dxa"/>
            <w:vMerge/>
            <w:shd w:val="clear" w:color="auto" w:fill="FFFFFF" w:themeFill="background1"/>
            <w:tcMar>
              <w:top w:w="17" w:type="dxa"/>
              <w:bottom w:w="17" w:type="dxa"/>
              <w:right w:w="28" w:type="dxa"/>
            </w:tcMar>
            <w:vAlign w:val="center"/>
            <w:hideMark/>
          </w:tcPr>
          <w:p w14:paraId="6D79E6BD"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7895D04D"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2.2.3</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Stredné odborné školy</w:t>
            </w:r>
          </w:p>
        </w:tc>
        <w:tc>
          <w:tcPr>
            <w:tcW w:w="850" w:type="dxa"/>
            <w:shd w:val="clear" w:color="auto" w:fill="FFFFFF" w:themeFill="background1"/>
            <w:tcMar>
              <w:top w:w="17" w:type="dxa"/>
              <w:bottom w:w="17" w:type="dxa"/>
              <w:right w:w="28" w:type="dxa"/>
            </w:tcMar>
            <w:vAlign w:val="center"/>
            <w:hideMark/>
          </w:tcPr>
          <w:p w14:paraId="26650CB1"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0DA49960"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112</w:t>
            </w:r>
            <w:r w:rsidRPr="00EB1889">
              <w:rPr>
                <w:rFonts w:ascii="Arial Narrow" w:hAnsi="Arial Narrow" w:cs="Calibri"/>
                <w:color w:val="000000"/>
                <w:spacing w:val="-2"/>
                <w:sz w:val="20"/>
                <w:szCs w:val="20"/>
              </w:rPr>
              <w:t xml:space="preserve"> 205 701</w:t>
            </w:r>
          </w:p>
        </w:tc>
        <w:tc>
          <w:tcPr>
            <w:tcW w:w="1134" w:type="dxa"/>
            <w:shd w:val="clear" w:color="auto" w:fill="FFFFFF" w:themeFill="background1"/>
            <w:tcMar>
              <w:top w:w="17" w:type="dxa"/>
              <w:bottom w:w="17" w:type="dxa"/>
              <w:right w:w="28" w:type="dxa"/>
            </w:tcMar>
            <w:vAlign w:val="center"/>
          </w:tcPr>
          <w:p w14:paraId="7E9CBEC1"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-12 486 520</w:t>
            </w:r>
          </w:p>
        </w:tc>
        <w:tc>
          <w:tcPr>
            <w:tcW w:w="1276" w:type="dxa"/>
            <w:shd w:val="clear" w:color="auto" w:fill="FFFFFF" w:themeFill="background1"/>
            <w:tcMar>
              <w:top w:w="17" w:type="dxa"/>
              <w:bottom w:w="17" w:type="dxa"/>
              <w:right w:w="28" w:type="dxa"/>
            </w:tcMar>
            <w:vAlign w:val="center"/>
          </w:tcPr>
          <w:p w14:paraId="5E4EEBDF"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99 719 181</w:t>
            </w:r>
          </w:p>
        </w:tc>
        <w:tc>
          <w:tcPr>
            <w:tcW w:w="1985" w:type="dxa"/>
            <w:shd w:val="clear" w:color="auto" w:fill="FFFFFF" w:themeFill="background1"/>
            <w:vAlign w:val="center"/>
          </w:tcPr>
          <w:p w14:paraId="14BBAA4C"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7D6EA2" w:rsidRPr="004A20D6" w14:paraId="35D03729" w14:textId="77777777" w:rsidTr="007D6EA2">
        <w:tc>
          <w:tcPr>
            <w:tcW w:w="993" w:type="dxa"/>
            <w:vMerge/>
            <w:shd w:val="clear" w:color="auto" w:fill="FFFFFF" w:themeFill="background1"/>
            <w:tcMar>
              <w:top w:w="17" w:type="dxa"/>
              <w:bottom w:w="17" w:type="dxa"/>
              <w:right w:w="28" w:type="dxa"/>
            </w:tcMar>
            <w:vAlign w:val="center"/>
            <w:hideMark/>
          </w:tcPr>
          <w:p w14:paraId="326DB7A3"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362AB05F"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1EBD0348"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5433A1AB"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8 009 292</w:t>
            </w:r>
          </w:p>
        </w:tc>
        <w:tc>
          <w:tcPr>
            <w:tcW w:w="1134" w:type="dxa"/>
            <w:shd w:val="clear" w:color="auto" w:fill="FFFFFF" w:themeFill="background1"/>
            <w:tcMar>
              <w:top w:w="17" w:type="dxa"/>
              <w:bottom w:w="17" w:type="dxa"/>
              <w:right w:w="28" w:type="dxa"/>
            </w:tcMar>
            <w:vAlign w:val="center"/>
          </w:tcPr>
          <w:p w14:paraId="5BCE060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FFFFFF" w:themeFill="background1"/>
            <w:tcMar>
              <w:top w:w="17" w:type="dxa"/>
              <w:bottom w:w="17" w:type="dxa"/>
              <w:right w:w="28" w:type="dxa"/>
            </w:tcMar>
            <w:vAlign w:val="center"/>
          </w:tcPr>
          <w:p w14:paraId="09C9D30C"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8 009 292</w:t>
            </w:r>
          </w:p>
        </w:tc>
        <w:tc>
          <w:tcPr>
            <w:tcW w:w="1985" w:type="dxa"/>
            <w:shd w:val="clear" w:color="auto" w:fill="FFFFFF" w:themeFill="background1"/>
            <w:vAlign w:val="center"/>
          </w:tcPr>
          <w:p w14:paraId="1EB2360C" w14:textId="77777777" w:rsidR="007D6EA2" w:rsidRPr="004A20D6" w:rsidRDefault="007D6EA2" w:rsidP="007D6EA2">
            <w:pPr>
              <w:rPr>
                <w:rFonts w:ascii="Arial Narrow" w:hAnsi="Arial Narrow" w:cs="Calibri"/>
                <w:spacing w:val="-2"/>
                <w:sz w:val="20"/>
                <w:szCs w:val="20"/>
              </w:rPr>
            </w:pPr>
          </w:p>
        </w:tc>
      </w:tr>
      <w:tr w:rsidR="007D6EA2" w:rsidRPr="004A20D6" w14:paraId="5673CFE1" w14:textId="77777777" w:rsidTr="007D6EA2">
        <w:tc>
          <w:tcPr>
            <w:tcW w:w="993" w:type="dxa"/>
            <w:vMerge/>
            <w:tcMar>
              <w:top w:w="17" w:type="dxa"/>
              <w:bottom w:w="17" w:type="dxa"/>
              <w:right w:w="28" w:type="dxa"/>
            </w:tcMar>
            <w:vAlign w:val="center"/>
            <w:hideMark/>
          </w:tcPr>
          <w:p w14:paraId="0FE100B5"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45E4C6F1"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000000" w:fill="DCE6F1"/>
            <w:tcMar>
              <w:top w:w="17" w:type="dxa"/>
              <w:bottom w:w="17" w:type="dxa"/>
              <w:right w:w="28" w:type="dxa"/>
            </w:tcMar>
            <w:vAlign w:val="center"/>
            <w:hideMark/>
          </w:tcPr>
          <w:p w14:paraId="74B0E550"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000000" w:fill="DCE6F1"/>
            <w:tcMar>
              <w:top w:w="17" w:type="dxa"/>
              <w:bottom w:w="17" w:type="dxa"/>
              <w:right w:w="28" w:type="dxa"/>
            </w:tcMar>
            <w:vAlign w:val="center"/>
          </w:tcPr>
          <w:p w14:paraId="415A1F21"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w:t>
            </w:r>
            <w:r>
              <w:rPr>
                <w:rFonts w:ascii="Arial Narrow" w:hAnsi="Arial Narrow" w:cs="Calibri"/>
                <w:color w:val="000000"/>
                <w:spacing w:val="-2"/>
                <w:sz w:val="20"/>
                <w:szCs w:val="20"/>
              </w:rPr>
              <w:t>79</w:t>
            </w:r>
            <w:r w:rsidRPr="00EB1889">
              <w:rPr>
                <w:rFonts w:ascii="Arial Narrow" w:hAnsi="Arial Narrow" w:cs="Calibri"/>
                <w:color w:val="000000"/>
                <w:spacing w:val="-2"/>
                <w:sz w:val="20"/>
                <w:szCs w:val="20"/>
              </w:rPr>
              <w:t xml:space="preserve"> 219 551</w:t>
            </w:r>
          </w:p>
        </w:tc>
        <w:tc>
          <w:tcPr>
            <w:tcW w:w="1134" w:type="dxa"/>
            <w:shd w:val="clear" w:color="auto" w:fill="DBE5F1" w:themeFill="accent1" w:themeFillTint="33"/>
            <w:tcMar>
              <w:top w:w="17" w:type="dxa"/>
              <w:bottom w:w="17" w:type="dxa"/>
              <w:right w:w="28" w:type="dxa"/>
            </w:tcMar>
            <w:vAlign w:val="center"/>
          </w:tcPr>
          <w:p w14:paraId="39691293" w14:textId="77777777" w:rsidR="007D6EA2" w:rsidRPr="004A20D6" w:rsidRDefault="007D6EA2" w:rsidP="007D6EA2">
            <w:pPr>
              <w:ind w:right="28"/>
              <w:jc w:val="right"/>
              <w:rPr>
                <w:rFonts w:ascii="Arial Narrow" w:hAnsi="Arial Narrow" w:cs="Calibri"/>
                <w:spacing w:val="-2"/>
                <w:sz w:val="20"/>
                <w:szCs w:val="20"/>
              </w:rPr>
            </w:pPr>
            <w:r w:rsidRPr="00F006A0">
              <w:rPr>
                <w:rFonts w:ascii="Arial Narrow" w:hAnsi="Arial Narrow" w:cs="Calibri"/>
                <w:spacing w:val="-2"/>
                <w:sz w:val="20"/>
                <w:szCs w:val="20"/>
              </w:rPr>
              <w:t>-18 729 781</w:t>
            </w:r>
          </w:p>
        </w:tc>
        <w:tc>
          <w:tcPr>
            <w:tcW w:w="1276" w:type="dxa"/>
            <w:shd w:val="clear" w:color="auto" w:fill="DBE5F1" w:themeFill="accent1" w:themeFillTint="33"/>
            <w:tcMar>
              <w:top w:w="17" w:type="dxa"/>
              <w:bottom w:w="17" w:type="dxa"/>
              <w:right w:w="28" w:type="dxa"/>
            </w:tcMar>
            <w:vAlign w:val="center"/>
          </w:tcPr>
          <w:p w14:paraId="0EFA6639" w14:textId="77777777" w:rsidR="007D6EA2" w:rsidRPr="004A20D6" w:rsidRDefault="007D6EA2" w:rsidP="007D6EA2">
            <w:pPr>
              <w:ind w:right="28"/>
              <w:jc w:val="right"/>
              <w:rPr>
                <w:rFonts w:ascii="Arial Narrow" w:hAnsi="Arial Narrow" w:cs="Calibri"/>
                <w:spacing w:val="-2"/>
                <w:sz w:val="20"/>
                <w:szCs w:val="20"/>
              </w:rPr>
            </w:pPr>
            <w:r w:rsidRPr="00B35555">
              <w:rPr>
                <w:rFonts w:ascii="Arial Narrow" w:hAnsi="Arial Narrow" w:cs="Calibri"/>
                <w:spacing w:val="-2"/>
                <w:sz w:val="20"/>
                <w:szCs w:val="20"/>
              </w:rPr>
              <w:t>560 489 770</w:t>
            </w:r>
          </w:p>
        </w:tc>
        <w:tc>
          <w:tcPr>
            <w:tcW w:w="1985" w:type="dxa"/>
            <w:shd w:val="clear" w:color="auto" w:fill="DBE5F1" w:themeFill="accent1" w:themeFillTint="33"/>
            <w:vAlign w:val="center"/>
          </w:tcPr>
          <w:p w14:paraId="373063DC" w14:textId="77777777" w:rsidR="007D6EA2" w:rsidRPr="004A20D6" w:rsidRDefault="007D6EA2" w:rsidP="007D6EA2">
            <w:pPr>
              <w:rPr>
                <w:rFonts w:ascii="Arial Narrow" w:hAnsi="Arial Narrow" w:cs="Calibri"/>
                <w:spacing w:val="-2"/>
                <w:sz w:val="20"/>
                <w:szCs w:val="20"/>
              </w:rPr>
            </w:pPr>
          </w:p>
        </w:tc>
      </w:tr>
      <w:tr w:rsidR="007D6EA2" w:rsidRPr="004A20D6" w14:paraId="74F74E26" w14:textId="77777777" w:rsidTr="007D6EA2">
        <w:tc>
          <w:tcPr>
            <w:tcW w:w="993" w:type="dxa"/>
            <w:vMerge/>
            <w:tcMar>
              <w:top w:w="17" w:type="dxa"/>
              <w:bottom w:w="17" w:type="dxa"/>
              <w:right w:w="28" w:type="dxa"/>
            </w:tcMar>
            <w:vAlign w:val="center"/>
            <w:hideMark/>
          </w:tcPr>
          <w:p w14:paraId="33FAC63A"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36937098"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000000" w:fill="DCE6F1"/>
            <w:tcMar>
              <w:top w:w="17" w:type="dxa"/>
              <w:bottom w:w="17" w:type="dxa"/>
              <w:right w:w="28" w:type="dxa"/>
            </w:tcMar>
            <w:vAlign w:val="center"/>
            <w:hideMark/>
          </w:tcPr>
          <w:p w14:paraId="515342AC"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000000" w:fill="DCE6F1"/>
            <w:tcMar>
              <w:top w:w="17" w:type="dxa"/>
              <w:bottom w:w="17" w:type="dxa"/>
              <w:right w:w="28" w:type="dxa"/>
            </w:tcMar>
            <w:vAlign w:val="center"/>
          </w:tcPr>
          <w:p w14:paraId="023196F5"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67 507 000</w:t>
            </w:r>
          </w:p>
        </w:tc>
        <w:tc>
          <w:tcPr>
            <w:tcW w:w="1134" w:type="dxa"/>
            <w:shd w:val="clear" w:color="auto" w:fill="DBE5F1" w:themeFill="accent1" w:themeFillTint="33"/>
            <w:tcMar>
              <w:top w:w="17" w:type="dxa"/>
              <w:bottom w:w="17" w:type="dxa"/>
              <w:right w:w="28" w:type="dxa"/>
            </w:tcMar>
            <w:vAlign w:val="center"/>
          </w:tcPr>
          <w:p w14:paraId="4378D9A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0</w:t>
            </w:r>
          </w:p>
        </w:tc>
        <w:tc>
          <w:tcPr>
            <w:tcW w:w="1276" w:type="dxa"/>
            <w:shd w:val="clear" w:color="auto" w:fill="DBE5F1" w:themeFill="accent1" w:themeFillTint="33"/>
            <w:tcMar>
              <w:top w:w="17" w:type="dxa"/>
              <w:bottom w:w="17" w:type="dxa"/>
              <w:right w:w="28" w:type="dxa"/>
            </w:tcMar>
            <w:vAlign w:val="center"/>
          </w:tcPr>
          <w:p w14:paraId="0E4261F8" w14:textId="77777777" w:rsidR="007D6EA2" w:rsidRPr="004A20D6" w:rsidRDefault="007D6EA2" w:rsidP="007D6EA2">
            <w:pPr>
              <w:ind w:right="28"/>
              <w:jc w:val="right"/>
              <w:rPr>
                <w:rFonts w:ascii="Arial Narrow" w:hAnsi="Arial Narrow" w:cs="Calibri"/>
                <w:spacing w:val="-2"/>
                <w:sz w:val="20"/>
                <w:szCs w:val="20"/>
              </w:rPr>
            </w:pPr>
            <w:r w:rsidRPr="00B35555">
              <w:rPr>
                <w:rFonts w:ascii="Arial Narrow" w:hAnsi="Arial Narrow" w:cs="Calibri"/>
                <w:spacing w:val="-2"/>
                <w:sz w:val="20"/>
                <w:szCs w:val="20"/>
              </w:rPr>
              <w:t>67 507 000</w:t>
            </w:r>
          </w:p>
        </w:tc>
        <w:tc>
          <w:tcPr>
            <w:tcW w:w="1985" w:type="dxa"/>
            <w:shd w:val="clear" w:color="auto" w:fill="DBE5F1" w:themeFill="accent1" w:themeFillTint="33"/>
            <w:vAlign w:val="center"/>
          </w:tcPr>
          <w:p w14:paraId="23B5151A" w14:textId="77777777" w:rsidR="007D6EA2" w:rsidRPr="004A20D6" w:rsidRDefault="007D6EA2" w:rsidP="007D6EA2">
            <w:pPr>
              <w:rPr>
                <w:rFonts w:ascii="Arial Narrow" w:hAnsi="Arial Narrow" w:cs="Calibri"/>
                <w:spacing w:val="-2"/>
                <w:sz w:val="20"/>
                <w:szCs w:val="20"/>
              </w:rPr>
            </w:pPr>
          </w:p>
        </w:tc>
      </w:tr>
      <w:tr w:rsidR="007D6EA2" w:rsidRPr="004A20D6" w14:paraId="7F6BAF68" w14:textId="77777777" w:rsidTr="007D6EA2">
        <w:tc>
          <w:tcPr>
            <w:tcW w:w="993" w:type="dxa"/>
            <w:vMerge/>
            <w:tcMar>
              <w:top w:w="17" w:type="dxa"/>
              <w:bottom w:w="17" w:type="dxa"/>
              <w:right w:w="28" w:type="dxa"/>
            </w:tcMar>
            <w:vAlign w:val="center"/>
            <w:hideMark/>
          </w:tcPr>
          <w:p w14:paraId="4E7E017D"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95B3D7" w:themeFill="accent1" w:themeFillTint="99"/>
            <w:tcMar>
              <w:top w:w="17" w:type="dxa"/>
              <w:bottom w:w="17" w:type="dxa"/>
              <w:right w:w="28" w:type="dxa"/>
            </w:tcMar>
            <w:vAlign w:val="center"/>
            <w:hideMark/>
          </w:tcPr>
          <w:p w14:paraId="530BF1A6"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5B3D7" w:themeFill="accent1" w:themeFillTint="99"/>
            <w:tcMar>
              <w:top w:w="17" w:type="dxa"/>
              <w:bottom w:w="17" w:type="dxa"/>
              <w:right w:w="28" w:type="dxa"/>
            </w:tcMar>
            <w:vAlign w:val="center"/>
            <w:hideMark/>
          </w:tcPr>
          <w:p w14:paraId="0C4253F6"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5B3D7" w:themeFill="accent1" w:themeFillTint="99"/>
            <w:tcMar>
              <w:top w:w="17" w:type="dxa"/>
              <w:bottom w:w="17" w:type="dxa"/>
              <w:right w:w="28" w:type="dxa"/>
            </w:tcMar>
            <w:vAlign w:val="center"/>
          </w:tcPr>
          <w:p w14:paraId="679BB1F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6</w:t>
            </w:r>
            <w:r>
              <w:rPr>
                <w:rFonts w:ascii="Arial Narrow" w:hAnsi="Arial Narrow" w:cs="Calibri"/>
                <w:color w:val="000000"/>
                <w:spacing w:val="-2"/>
                <w:sz w:val="20"/>
                <w:szCs w:val="20"/>
              </w:rPr>
              <w:t>46</w:t>
            </w:r>
            <w:r w:rsidRPr="00EB1889">
              <w:rPr>
                <w:rFonts w:ascii="Arial Narrow" w:hAnsi="Arial Narrow" w:cs="Calibri"/>
                <w:color w:val="000000"/>
                <w:spacing w:val="-2"/>
                <w:sz w:val="20"/>
                <w:szCs w:val="20"/>
              </w:rPr>
              <w:t xml:space="preserve"> 726 551</w:t>
            </w:r>
          </w:p>
        </w:tc>
        <w:tc>
          <w:tcPr>
            <w:tcW w:w="1134" w:type="dxa"/>
            <w:shd w:val="clear" w:color="auto" w:fill="95B3D7" w:themeFill="accent1" w:themeFillTint="99"/>
            <w:tcMar>
              <w:top w:w="17" w:type="dxa"/>
              <w:bottom w:w="17" w:type="dxa"/>
              <w:right w:w="28" w:type="dxa"/>
            </w:tcMar>
            <w:vAlign w:val="center"/>
          </w:tcPr>
          <w:p w14:paraId="5B08753A" w14:textId="77777777" w:rsidR="007D6EA2" w:rsidRPr="004A20D6" w:rsidRDefault="007D6EA2" w:rsidP="007D6EA2">
            <w:pPr>
              <w:ind w:right="28"/>
              <w:jc w:val="right"/>
              <w:rPr>
                <w:rFonts w:ascii="Arial Narrow" w:hAnsi="Arial Narrow" w:cs="Calibri"/>
                <w:spacing w:val="-2"/>
                <w:sz w:val="20"/>
                <w:szCs w:val="20"/>
              </w:rPr>
            </w:pPr>
            <w:r w:rsidRPr="00B35555">
              <w:rPr>
                <w:rFonts w:ascii="Arial Narrow" w:hAnsi="Arial Narrow" w:cs="Calibri"/>
                <w:spacing w:val="-2"/>
                <w:sz w:val="20"/>
                <w:szCs w:val="20"/>
              </w:rPr>
              <w:t>-18 729 781</w:t>
            </w:r>
          </w:p>
        </w:tc>
        <w:tc>
          <w:tcPr>
            <w:tcW w:w="1276" w:type="dxa"/>
            <w:shd w:val="clear" w:color="auto" w:fill="95B3D7" w:themeFill="accent1" w:themeFillTint="99"/>
            <w:tcMar>
              <w:top w:w="17" w:type="dxa"/>
              <w:bottom w:w="17" w:type="dxa"/>
              <w:right w:w="28" w:type="dxa"/>
            </w:tcMar>
            <w:vAlign w:val="center"/>
          </w:tcPr>
          <w:p w14:paraId="6E8619FE" w14:textId="77777777" w:rsidR="007D6EA2" w:rsidRPr="004A20D6" w:rsidRDefault="007D6EA2" w:rsidP="007D6EA2">
            <w:pPr>
              <w:ind w:right="28"/>
              <w:jc w:val="right"/>
              <w:rPr>
                <w:rFonts w:ascii="Arial Narrow" w:hAnsi="Arial Narrow" w:cs="Calibri"/>
                <w:spacing w:val="-2"/>
                <w:sz w:val="20"/>
                <w:szCs w:val="20"/>
              </w:rPr>
            </w:pPr>
            <w:r w:rsidRPr="00B35555">
              <w:rPr>
                <w:rFonts w:ascii="Arial Narrow" w:hAnsi="Arial Narrow" w:cs="Calibri"/>
                <w:spacing w:val="-2"/>
                <w:sz w:val="20"/>
                <w:szCs w:val="20"/>
              </w:rPr>
              <w:t>627 996 770</w:t>
            </w:r>
          </w:p>
        </w:tc>
        <w:tc>
          <w:tcPr>
            <w:tcW w:w="1985" w:type="dxa"/>
            <w:shd w:val="clear" w:color="auto" w:fill="95B3D7" w:themeFill="accent1" w:themeFillTint="99"/>
            <w:vAlign w:val="center"/>
          </w:tcPr>
          <w:p w14:paraId="29A02301" w14:textId="77777777" w:rsidR="007D6EA2" w:rsidRPr="004A20D6" w:rsidRDefault="007D6EA2" w:rsidP="007D6EA2">
            <w:pPr>
              <w:rPr>
                <w:rFonts w:ascii="Arial Narrow" w:hAnsi="Arial Narrow" w:cs="Calibri"/>
                <w:spacing w:val="-2"/>
                <w:sz w:val="20"/>
                <w:szCs w:val="20"/>
              </w:rPr>
            </w:pPr>
          </w:p>
        </w:tc>
      </w:tr>
      <w:tr w:rsidR="007D6EA2" w:rsidRPr="004A20D6" w14:paraId="398DF178" w14:textId="77777777" w:rsidTr="007D6EA2">
        <w:tc>
          <w:tcPr>
            <w:tcW w:w="993" w:type="dxa"/>
            <w:vMerge w:val="restart"/>
            <w:shd w:val="clear" w:color="auto" w:fill="auto"/>
            <w:tcMar>
              <w:top w:w="17" w:type="dxa"/>
              <w:bottom w:w="17" w:type="dxa"/>
              <w:right w:w="28" w:type="dxa"/>
            </w:tcMar>
            <w:vAlign w:val="center"/>
            <w:hideMark/>
          </w:tcPr>
          <w:p w14:paraId="61352503"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3.</w:t>
            </w:r>
          </w:p>
          <w:p w14:paraId="4ED9C439"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Mobilizácia kreatívneho potenciálu v regiónoch</w:t>
            </w:r>
          </w:p>
        </w:tc>
        <w:tc>
          <w:tcPr>
            <w:tcW w:w="3119" w:type="dxa"/>
            <w:vMerge w:val="restart"/>
            <w:shd w:val="clear" w:color="auto" w:fill="auto"/>
            <w:tcMar>
              <w:top w:w="17" w:type="dxa"/>
              <w:bottom w:w="17" w:type="dxa"/>
              <w:right w:w="28" w:type="dxa"/>
            </w:tcMar>
            <w:vAlign w:val="center"/>
            <w:hideMark/>
          </w:tcPr>
          <w:p w14:paraId="13499A46"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3.1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Kultúrny a kreatívny priemysel</w:t>
            </w:r>
          </w:p>
        </w:tc>
        <w:tc>
          <w:tcPr>
            <w:tcW w:w="850" w:type="dxa"/>
            <w:shd w:val="clear" w:color="auto" w:fill="auto"/>
            <w:tcMar>
              <w:top w:w="17" w:type="dxa"/>
              <w:bottom w:w="17" w:type="dxa"/>
              <w:right w:w="28" w:type="dxa"/>
            </w:tcMar>
            <w:vAlign w:val="center"/>
            <w:hideMark/>
          </w:tcPr>
          <w:p w14:paraId="09B0218F"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45043248"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85</w:t>
            </w:r>
            <w:r w:rsidRPr="00EB1889">
              <w:rPr>
                <w:rFonts w:ascii="Arial Narrow" w:hAnsi="Arial Narrow" w:cs="Calibri"/>
                <w:color w:val="000000"/>
                <w:spacing w:val="-2"/>
                <w:sz w:val="20"/>
                <w:szCs w:val="20"/>
              </w:rPr>
              <w:t xml:space="preserve"> 369 540</w:t>
            </w:r>
          </w:p>
        </w:tc>
        <w:tc>
          <w:tcPr>
            <w:tcW w:w="1134" w:type="dxa"/>
            <w:shd w:val="clear" w:color="auto" w:fill="auto"/>
            <w:tcMar>
              <w:top w:w="17" w:type="dxa"/>
              <w:bottom w:w="17" w:type="dxa"/>
              <w:right w:w="28" w:type="dxa"/>
            </w:tcMar>
            <w:vAlign w:val="center"/>
          </w:tcPr>
          <w:p w14:paraId="4D09CAFF" w14:textId="77777777" w:rsidR="007D6EA2" w:rsidRPr="000B6C08" w:rsidRDefault="007D6EA2" w:rsidP="007D6EA2">
            <w:pPr>
              <w:ind w:right="28"/>
              <w:jc w:val="right"/>
              <w:rPr>
                <w:rFonts w:ascii="Arial Narrow" w:hAnsi="Arial Narrow" w:cs="Calibri"/>
                <w:color w:val="000000"/>
                <w:spacing w:val="-2"/>
                <w:sz w:val="20"/>
                <w:szCs w:val="20"/>
              </w:rPr>
            </w:pPr>
            <w:r w:rsidRPr="000B6C08">
              <w:rPr>
                <w:rFonts w:ascii="Arial Narrow" w:hAnsi="Arial Narrow" w:cs="Calibri"/>
                <w:color w:val="000000"/>
                <w:spacing w:val="-2"/>
                <w:sz w:val="20"/>
                <w:szCs w:val="20"/>
              </w:rPr>
              <w:t>-18</w:t>
            </w:r>
            <w:r>
              <w:rPr>
                <w:rFonts w:ascii="Arial Narrow" w:hAnsi="Arial Narrow" w:cs="Calibri"/>
                <w:color w:val="000000"/>
                <w:spacing w:val="-2"/>
                <w:sz w:val="20"/>
                <w:szCs w:val="20"/>
              </w:rPr>
              <w:t xml:space="preserve"> </w:t>
            </w:r>
            <w:r w:rsidRPr="000B6C08">
              <w:rPr>
                <w:rFonts w:ascii="Arial Narrow" w:hAnsi="Arial Narrow" w:cs="Calibri"/>
                <w:color w:val="000000"/>
                <w:spacing w:val="-2"/>
                <w:sz w:val="20"/>
                <w:szCs w:val="20"/>
              </w:rPr>
              <w:t>302</w:t>
            </w:r>
            <w:r>
              <w:rPr>
                <w:rFonts w:ascii="Arial Narrow" w:hAnsi="Arial Narrow" w:cs="Calibri"/>
                <w:color w:val="000000"/>
                <w:spacing w:val="-2"/>
                <w:sz w:val="20"/>
                <w:szCs w:val="20"/>
              </w:rPr>
              <w:t xml:space="preserve"> </w:t>
            </w:r>
            <w:r w:rsidRPr="000B6C08">
              <w:rPr>
                <w:rFonts w:ascii="Arial Narrow" w:hAnsi="Arial Narrow" w:cs="Calibri"/>
                <w:color w:val="000000"/>
                <w:spacing w:val="-2"/>
                <w:sz w:val="20"/>
                <w:szCs w:val="20"/>
              </w:rPr>
              <w:t>326</w:t>
            </w:r>
          </w:p>
        </w:tc>
        <w:tc>
          <w:tcPr>
            <w:tcW w:w="1276" w:type="dxa"/>
            <w:shd w:val="clear" w:color="auto" w:fill="auto"/>
            <w:tcMar>
              <w:top w:w="17" w:type="dxa"/>
              <w:bottom w:w="17" w:type="dxa"/>
              <w:right w:w="28" w:type="dxa"/>
            </w:tcMar>
            <w:vAlign w:val="center"/>
          </w:tcPr>
          <w:p w14:paraId="0BBD867C"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67 067 214</w:t>
            </w:r>
          </w:p>
        </w:tc>
        <w:tc>
          <w:tcPr>
            <w:tcW w:w="1985" w:type="dxa"/>
            <w:vAlign w:val="center"/>
          </w:tcPr>
          <w:p w14:paraId="00DD0177"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w:t>
            </w:r>
          </w:p>
        </w:tc>
      </w:tr>
      <w:tr w:rsidR="007D6EA2" w:rsidRPr="004A20D6" w14:paraId="2165B926" w14:textId="77777777" w:rsidTr="007D6EA2">
        <w:tc>
          <w:tcPr>
            <w:tcW w:w="993" w:type="dxa"/>
            <w:vMerge/>
            <w:tcMar>
              <w:top w:w="17" w:type="dxa"/>
              <w:bottom w:w="17" w:type="dxa"/>
              <w:right w:w="28" w:type="dxa"/>
            </w:tcMar>
            <w:vAlign w:val="center"/>
            <w:hideMark/>
          </w:tcPr>
          <w:p w14:paraId="15756E20" w14:textId="77777777" w:rsidR="007D6EA2" w:rsidRPr="004A20D6" w:rsidRDefault="007D6EA2" w:rsidP="007D6EA2">
            <w:pPr>
              <w:rPr>
                <w:rFonts w:ascii="Arial Narrow" w:hAnsi="Arial Narrow" w:cs="Calibri"/>
                <w:b/>
                <w:bCs/>
                <w:color w:val="000000"/>
                <w:spacing w:val="-2"/>
                <w:sz w:val="20"/>
                <w:szCs w:val="20"/>
              </w:rPr>
            </w:pPr>
          </w:p>
        </w:tc>
        <w:tc>
          <w:tcPr>
            <w:tcW w:w="3119" w:type="dxa"/>
            <w:vMerge/>
            <w:tcMar>
              <w:top w:w="17" w:type="dxa"/>
              <w:bottom w:w="17" w:type="dxa"/>
              <w:right w:w="28" w:type="dxa"/>
            </w:tcMar>
            <w:vAlign w:val="center"/>
            <w:hideMark/>
          </w:tcPr>
          <w:p w14:paraId="550E8549"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auto"/>
            <w:tcMar>
              <w:top w:w="17" w:type="dxa"/>
              <w:bottom w:w="17" w:type="dxa"/>
              <w:right w:w="28" w:type="dxa"/>
            </w:tcMar>
            <w:vAlign w:val="center"/>
            <w:hideMark/>
          </w:tcPr>
          <w:p w14:paraId="291C1C2F"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367208AC"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8 020 472</w:t>
            </w:r>
          </w:p>
        </w:tc>
        <w:tc>
          <w:tcPr>
            <w:tcW w:w="1134" w:type="dxa"/>
            <w:shd w:val="clear" w:color="auto" w:fill="auto"/>
            <w:tcMar>
              <w:top w:w="17" w:type="dxa"/>
              <w:bottom w:w="17" w:type="dxa"/>
              <w:right w:w="28" w:type="dxa"/>
            </w:tcMar>
            <w:vAlign w:val="center"/>
          </w:tcPr>
          <w:p w14:paraId="4FC380E8"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1A3516A1"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8 020 472</w:t>
            </w:r>
          </w:p>
        </w:tc>
        <w:tc>
          <w:tcPr>
            <w:tcW w:w="1985" w:type="dxa"/>
            <w:vAlign w:val="center"/>
          </w:tcPr>
          <w:p w14:paraId="01B1E9DF" w14:textId="77777777" w:rsidR="007D6EA2" w:rsidRPr="004A20D6" w:rsidRDefault="007D6EA2" w:rsidP="007D6EA2">
            <w:pPr>
              <w:rPr>
                <w:rFonts w:ascii="Arial Narrow" w:hAnsi="Arial Narrow" w:cs="Calibri"/>
                <w:spacing w:val="-2"/>
                <w:sz w:val="20"/>
                <w:szCs w:val="20"/>
              </w:rPr>
            </w:pPr>
          </w:p>
        </w:tc>
      </w:tr>
      <w:tr w:rsidR="007D6EA2" w:rsidRPr="004A20D6" w14:paraId="5D3FBD5B" w14:textId="77777777" w:rsidTr="007D6EA2">
        <w:tc>
          <w:tcPr>
            <w:tcW w:w="993" w:type="dxa"/>
            <w:vMerge/>
            <w:tcMar>
              <w:top w:w="17" w:type="dxa"/>
              <w:bottom w:w="17" w:type="dxa"/>
              <w:right w:w="28" w:type="dxa"/>
            </w:tcMar>
            <w:vAlign w:val="center"/>
            <w:hideMark/>
          </w:tcPr>
          <w:p w14:paraId="567CB5EE"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DBE5F1" w:themeFill="accent1" w:themeFillTint="33"/>
            <w:tcMar>
              <w:top w:w="17" w:type="dxa"/>
              <w:bottom w:w="17" w:type="dxa"/>
              <w:right w:w="28" w:type="dxa"/>
            </w:tcMar>
            <w:vAlign w:val="center"/>
            <w:hideMark/>
          </w:tcPr>
          <w:p w14:paraId="095C551D"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auto" w:fill="DBE5F1" w:themeFill="accent1" w:themeFillTint="33"/>
            <w:tcMar>
              <w:top w:w="17" w:type="dxa"/>
              <w:bottom w:w="17" w:type="dxa"/>
              <w:right w:w="28" w:type="dxa"/>
            </w:tcMar>
            <w:vAlign w:val="center"/>
            <w:hideMark/>
          </w:tcPr>
          <w:p w14:paraId="3639F15C"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DBE5F1" w:themeFill="accent1" w:themeFillTint="33"/>
            <w:tcMar>
              <w:top w:w="17" w:type="dxa"/>
              <w:bottom w:w="17" w:type="dxa"/>
              <w:right w:w="28" w:type="dxa"/>
            </w:tcMar>
            <w:vAlign w:val="center"/>
          </w:tcPr>
          <w:p w14:paraId="67ED1642"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85</w:t>
            </w:r>
            <w:r w:rsidRPr="00EB1889">
              <w:rPr>
                <w:rFonts w:ascii="Arial Narrow" w:hAnsi="Arial Narrow" w:cs="Calibri"/>
                <w:color w:val="000000"/>
                <w:spacing w:val="-2"/>
                <w:sz w:val="20"/>
                <w:szCs w:val="20"/>
              </w:rPr>
              <w:t xml:space="preserve"> 369 540</w:t>
            </w:r>
          </w:p>
        </w:tc>
        <w:tc>
          <w:tcPr>
            <w:tcW w:w="1134" w:type="dxa"/>
            <w:shd w:val="clear" w:color="auto" w:fill="DBE5F1" w:themeFill="accent1" w:themeFillTint="33"/>
            <w:tcMar>
              <w:top w:w="17" w:type="dxa"/>
              <w:bottom w:w="17" w:type="dxa"/>
              <w:right w:w="28" w:type="dxa"/>
            </w:tcMar>
            <w:vAlign w:val="center"/>
          </w:tcPr>
          <w:p w14:paraId="0D7BD8E4" w14:textId="77777777" w:rsidR="007D6EA2" w:rsidRPr="004A20D6" w:rsidRDefault="007D6EA2" w:rsidP="007D6EA2">
            <w:pPr>
              <w:ind w:right="28"/>
              <w:jc w:val="right"/>
              <w:rPr>
                <w:rFonts w:ascii="Arial Narrow" w:hAnsi="Arial Narrow" w:cs="Calibri"/>
                <w:spacing w:val="-2"/>
                <w:sz w:val="20"/>
                <w:szCs w:val="20"/>
              </w:rPr>
            </w:pPr>
            <w:r w:rsidRPr="000B6C08">
              <w:rPr>
                <w:rFonts w:ascii="Arial Narrow" w:hAnsi="Arial Narrow" w:cs="Calibri"/>
                <w:color w:val="000000"/>
                <w:spacing w:val="-2"/>
                <w:sz w:val="20"/>
                <w:szCs w:val="20"/>
              </w:rPr>
              <w:t>-18</w:t>
            </w:r>
            <w:r>
              <w:rPr>
                <w:rFonts w:ascii="Arial Narrow" w:hAnsi="Arial Narrow" w:cs="Calibri"/>
                <w:color w:val="000000"/>
                <w:spacing w:val="-2"/>
                <w:sz w:val="20"/>
                <w:szCs w:val="20"/>
              </w:rPr>
              <w:t xml:space="preserve"> </w:t>
            </w:r>
            <w:r w:rsidRPr="000B6C08">
              <w:rPr>
                <w:rFonts w:ascii="Arial Narrow" w:hAnsi="Arial Narrow" w:cs="Calibri"/>
                <w:color w:val="000000"/>
                <w:spacing w:val="-2"/>
                <w:sz w:val="20"/>
                <w:szCs w:val="20"/>
              </w:rPr>
              <w:t>302</w:t>
            </w:r>
            <w:r>
              <w:rPr>
                <w:rFonts w:ascii="Arial Narrow" w:hAnsi="Arial Narrow" w:cs="Calibri"/>
                <w:color w:val="000000"/>
                <w:spacing w:val="-2"/>
                <w:sz w:val="20"/>
                <w:szCs w:val="20"/>
              </w:rPr>
              <w:t xml:space="preserve"> </w:t>
            </w:r>
            <w:r w:rsidRPr="000B6C08">
              <w:rPr>
                <w:rFonts w:ascii="Arial Narrow" w:hAnsi="Arial Narrow" w:cs="Calibri"/>
                <w:color w:val="000000"/>
                <w:spacing w:val="-2"/>
                <w:sz w:val="20"/>
                <w:szCs w:val="20"/>
              </w:rPr>
              <w:t>326</w:t>
            </w:r>
          </w:p>
        </w:tc>
        <w:tc>
          <w:tcPr>
            <w:tcW w:w="1276" w:type="dxa"/>
            <w:shd w:val="clear" w:color="auto" w:fill="DBE5F1" w:themeFill="accent1" w:themeFillTint="33"/>
            <w:tcMar>
              <w:top w:w="17" w:type="dxa"/>
              <w:bottom w:w="17" w:type="dxa"/>
              <w:right w:w="28" w:type="dxa"/>
            </w:tcMar>
            <w:vAlign w:val="center"/>
          </w:tcPr>
          <w:p w14:paraId="633C606B"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67 067 214</w:t>
            </w:r>
          </w:p>
        </w:tc>
        <w:tc>
          <w:tcPr>
            <w:tcW w:w="1985" w:type="dxa"/>
            <w:shd w:val="clear" w:color="auto" w:fill="DBE5F1" w:themeFill="accent1" w:themeFillTint="33"/>
            <w:vAlign w:val="center"/>
          </w:tcPr>
          <w:p w14:paraId="1E4BCE8D" w14:textId="77777777" w:rsidR="007D6EA2" w:rsidRPr="004A20D6" w:rsidRDefault="007D6EA2" w:rsidP="007D6EA2">
            <w:pPr>
              <w:rPr>
                <w:rFonts w:ascii="Arial Narrow" w:hAnsi="Arial Narrow" w:cs="Calibri"/>
                <w:spacing w:val="-2"/>
                <w:sz w:val="20"/>
                <w:szCs w:val="20"/>
              </w:rPr>
            </w:pPr>
          </w:p>
        </w:tc>
      </w:tr>
      <w:tr w:rsidR="007D6EA2" w:rsidRPr="004A20D6" w14:paraId="137F3079" w14:textId="77777777" w:rsidTr="007D6EA2">
        <w:tc>
          <w:tcPr>
            <w:tcW w:w="993" w:type="dxa"/>
            <w:vMerge/>
            <w:tcMar>
              <w:top w:w="17" w:type="dxa"/>
              <w:bottom w:w="17" w:type="dxa"/>
              <w:right w:w="28" w:type="dxa"/>
            </w:tcMar>
            <w:vAlign w:val="center"/>
            <w:hideMark/>
          </w:tcPr>
          <w:p w14:paraId="7150267F"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DBE5F1" w:themeFill="accent1" w:themeFillTint="33"/>
            <w:tcMar>
              <w:top w:w="17" w:type="dxa"/>
              <w:bottom w:w="17" w:type="dxa"/>
              <w:right w:w="28" w:type="dxa"/>
            </w:tcMar>
            <w:vAlign w:val="center"/>
            <w:hideMark/>
          </w:tcPr>
          <w:p w14:paraId="2AE1B932"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auto" w:fill="DBE5F1" w:themeFill="accent1" w:themeFillTint="33"/>
            <w:tcMar>
              <w:top w:w="17" w:type="dxa"/>
              <w:bottom w:w="17" w:type="dxa"/>
              <w:right w:w="28" w:type="dxa"/>
            </w:tcMar>
            <w:vAlign w:val="center"/>
            <w:hideMark/>
          </w:tcPr>
          <w:p w14:paraId="308A6BBC"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DBE5F1" w:themeFill="accent1" w:themeFillTint="33"/>
            <w:tcMar>
              <w:top w:w="17" w:type="dxa"/>
              <w:bottom w:w="17" w:type="dxa"/>
              <w:right w:w="28" w:type="dxa"/>
            </w:tcMar>
            <w:vAlign w:val="center"/>
          </w:tcPr>
          <w:p w14:paraId="4953EA75"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8 020 472</w:t>
            </w:r>
          </w:p>
        </w:tc>
        <w:tc>
          <w:tcPr>
            <w:tcW w:w="1134" w:type="dxa"/>
            <w:shd w:val="clear" w:color="auto" w:fill="DBE5F1" w:themeFill="accent1" w:themeFillTint="33"/>
            <w:tcMar>
              <w:top w:w="17" w:type="dxa"/>
              <w:bottom w:w="17" w:type="dxa"/>
              <w:right w:w="28" w:type="dxa"/>
            </w:tcMar>
            <w:vAlign w:val="center"/>
          </w:tcPr>
          <w:p w14:paraId="3356583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DBE5F1" w:themeFill="accent1" w:themeFillTint="33"/>
            <w:tcMar>
              <w:top w:w="17" w:type="dxa"/>
              <w:bottom w:w="17" w:type="dxa"/>
              <w:right w:w="28" w:type="dxa"/>
            </w:tcMar>
            <w:vAlign w:val="center"/>
          </w:tcPr>
          <w:p w14:paraId="1282AA98"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8 020 472</w:t>
            </w:r>
          </w:p>
        </w:tc>
        <w:tc>
          <w:tcPr>
            <w:tcW w:w="1985" w:type="dxa"/>
            <w:shd w:val="clear" w:color="auto" w:fill="DBE5F1" w:themeFill="accent1" w:themeFillTint="33"/>
            <w:vAlign w:val="center"/>
          </w:tcPr>
          <w:p w14:paraId="39D74BAE" w14:textId="77777777" w:rsidR="007D6EA2" w:rsidRPr="004A20D6" w:rsidRDefault="007D6EA2" w:rsidP="007D6EA2">
            <w:pPr>
              <w:rPr>
                <w:rFonts w:ascii="Arial Narrow" w:hAnsi="Arial Narrow" w:cs="Calibri"/>
                <w:spacing w:val="-2"/>
                <w:sz w:val="20"/>
                <w:szCs w:val="20"/>
              </w:rPr>
            </w:pPr>
          </w:p>
        </w:tc>
      </w:tr>
      <w:tr w:rsidR="007D6EA2" w:rsidRPr="004A20D6" w14:paraId="6D64D08F" w14:textId="77777777" w:rsidTr="007D6EA2">
        <w:tc>
          <w:tcPr>
            <w:tcW w:w="993" w:type="dxa"/>
            <w:vMerge/>
            <w:tcMar>
              <w:top w:w="17" w:type="dxa"/>
              <w:bottom w:w="17" w:type="dxa"/>
              <w:right w:w="28" w:type="dxa"/>
            </w:tcMar>
            <w:vAlign w:val="center"/>
            <w:hideMark/>
          </w:tcPr>
          <w:p w14:paraId="117358C4"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95B3D7" w:themeFill="accent1" w:themeFillTint="99"/>
            <w:tcMar>
              <w:top w:w="17" w:type="dxa"/>
              <w:bottom w:w="17" w:type="dxa"/>
              <w:right w:w="28" w:type="dxa"/>
            </w:tcMar>
            <w:vAlign w:val="center"/>
            <w:hideMark/>
          </w:tcPr>
          <w:p w14:paraId="112123A2"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5B3D7" w:themeFill="accent1" w:themeFillTint="99"/>
            <w:tcMar>
              <w:top w:w="17" w:type="dxa"/>
              <w:bottom w:w="17" w:type="dxa"/>
              <w:right w:w="28" w:type="dxa"/>
            </w:tcMar>
            <w:vAlign w:val="center"/>
            <w:hideMark/>
          </w:tcPr>
          <w:p w14:paraId="3F60BBD1"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5B3D7" w:themeFill="accent1" w:themeFillTint="99"/>
            <w:tcMar>
              <w:top w:w="17" w:type="dxa"/>
              <w:bottom w:w="17" w:type="dxa"/>
              <w:right w:w="28" w:type="dxa"/>
            </w:tcMar>
            <w:vAlign w:val="center"/>
          </w:tcPr>
          <w:p w14:paraId="7D122314"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93</w:t>
            </w:r>
            <w:r w:rsidRPr="00EB1889">
              <w:rPr>
                <w:rFonts w:ascii="Arial Narrow" w:hAnsi="Arial Narrow" w:cs="Calibri"/>
                <w:color w:val="000000"/>
                <w:spacing w:val="-2"/>
                <w:sz w:val="20"/>
                <w:szCs w:val="20"/>
              </w:rPr>
              <w:t xml:space="preserve"> 390 012</w:t>
            </w:r>
          </w:p>
        </w:tc>
        <w:tc>
          <w:tcPr>
            <w:tcW w:w="1134" w:type="dxa"/>
            <w:shd w:val="clear" w:color="auto" w:fill="95B3D7" w:themeFill="accent1" w:themeFillTint="99"/>
            <w:tcMar>
              <w:top w:w="17" w:type="dxa"/>
              <w:bottom w:w="17" w:type="dxa"/>
              <w:right w:w="28" w:type="dxa"/>
            </w:tcMar>
            <w:vAlign w:val="center"/>
          </w:tcPr>
          <w:p w14:paraId="3BD8B485" w14:textId="77777777" w:rsidR="007D6EA2" w:rsidRPr="004A20D6" w:rsidRDefault="007D6EA2" w:rsidP="007D6EA2">
            <w:pPr>
              <w:ind w:right="28"/>
              <w:jc w:val="right"/>
              <w:rPr>
                <w:rFonts w:ascii="Arial Narrow" w:hAnsi="Arial Narrow" w:cs="Calibri"/>
                <w:spacing w:val="-2"/>
                <w:sz w:val="20"/>
                <w:szCs w:val="20"/>
              </w:rPr>
            </w:pPr>
            <w:r w:rsidRPr="000B6C08">
              <w:rPr>
                <w:rFonts w:ascii="Arial Narrow" w:hAnsi="Arial Narrow" w:cs="Calibri"/>
                <w:color w:val="000000"/>
                <w:spacing w:val="-2"/>
                <w:sz w:val="20"/>
                <w:szCs w:val="20"/>
              </w:rPr>
              <w:t>-18</w:t>
            </w:r>
            <w:r>
              <w:rPr>
                <w:rFonts w:ascii="Arial Narrow" w:hAnsi="Arial Narrow" w:cs="Calibri"/>
                <w:color w:val="000000"/>
                <w:spacing w:val="-2"/>
                <w:sz w:val="20"/>
                <w:szCs w:val="20"/>
              </w:rPr>
              <w:t xml:space="preserve"> </w:t>
            </w:r>
            <w:r w:rsidRPr="000B6C08">
              <w:rPr>
                <w:rFonts w:ascii="Arial Narrow" w:hAnsi="Arial Narrow" w:cs="Calibri"/>
                <w:color w:val="000000"/>
                <w:spacing w:val="-2"/>
                <w:sz w:val="20"/>
                <w:szCs w:val="20"/>
              </w:rPr>
              <w:t>302</w:t>
            </w:r>
            <w:r>
              <w:rPr>
                <w:rFonts w:ascii="Arial Narrow" w:hAnsi="Arial Narrow" w:cs="Calibri"/>
                <w:color w:val="000000"/>
                <w:spacing w:val="-2"/>
                <w:sz w:val="20"/>
                <w:szCs w:val="20"/>
              </w:rPr>
              <w:t xml:space="preserve"> </w:t>
            </w:r>
            <w:r w:rsidRPr="000B6C08">
              <w:rPr>
                <w:rFonts w:ascii="Arial Narrow" w:hAnsi="Arial Narrow" w:cs="Calibri"/>
                <w:color w:val="000000"/>
                <w:spacing w:val="-2"/>
                <w:sz w:val="20"/>
                <w:szCs w:val="20"/>
              </w:rPr>
              <w:t>326</w:t>
            </w:r>
          </w:p>
        </w:tc>
        <w:tc>
          <w:tcPr>
            <w:tcW w:w="1276" w:type="dxa"/>
            <w:shd w:val="clear" w:color="auto" w:fill="95B3D7" w:themeFill="accent1" w:themeFillTint="99"/>
            <w:tcMar>
              <w:top w:w="17" w:type="dxa"/>
              <w:bottom w:w="17" w:type="dxa"/>
              <w:right w:w="28" w:type="dxa"/>
            </w:tcMar>
            <w:vAlign w:val="center"/>
          </w:tcPr>
          <w:p w14:paraId="03922EB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75 087 686</w:t>
            </w:r>
          </w:p>
        </w:tc>
        <w:tc>
          <w:tcPr>
            <w:tcW w:w="1985" w:type="dxa"/>
            <w:shd w:val="clear" w:color="auto" w:fill="95B3D7" w:themeFill="accent1" w:themeFillTint="99"/>
            <w:vAlign w:val="center"/>
          </w:tcPr>
          <w:p w14:paraId="1A1687CF" w14:textId="77777777" w:rsidR="007D6EA2" w:rsidRPr="004A20D6" w:rsidRDefault="007D6EA2" w:rsidP="007D6EA2">
            <w:pPr>
              <w:rPr>
                <w:rFonts w:ascii="Arial Narrow" w:hAnsi="Arial Narrow" w:cs="Calibri"/>
                <w:spacing w:val="-2"/>
                <w:sz w:val="20"/>
                <w:szCs w:val="20"/>
              </w:rPr>
            </w:pPr>
          </w:p>
        </w:tc>
      </w:tr>
      <w:tr w:rsidR="007D6EA2" w:rsidRPr="004A20D6" w14:paraId="49821395" w14:textId="77777777" w:rsidTr="007D6EA2">
        <w:tc>
          <w:tcPr>
            <w:tcW w:w="993" w:type="dxa"/>
            <w:vMerge w:val="restart"/>
            <w:shd w:val="clear" w:color="auto" w:fill="FFFFFF" w:themeFill="background1"/>
            <w:tcMar>
              <w:top w:w="17" w:type="dxa"/>
              <w:bottom w:w="17" w:type="dxa"/>
              <w:right w:w="28" w:type="dxa"/>
            </w:tcMar>
            <w:vAlign w:val="center"/>
            <w:hideMark/>
          </w:tcPr>
          <w:p w14:paraId="4FA1FF46"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4. </w:t>
            </w:r>
          </w:p>
          <w:p w14:paraId="14CB0E0E"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lastRenderedPageBreak/>
              <w:t>Zlepšenie kvality života v regiónoch s dôrazom na životné prostredie</w:t>
            </w:r>
          </w:p>
        </w:tc>
        <w:tc>
          <w:tcPr>
            <w:tcW w:w="3119" w:type="dxa"/>
            <w:vMerge w:val="restart"/>
            <w:shd w:val="clear" w:color="auto" w:fill="FFFFFF" w:themeFill="background1"/>
            <w:tcMar>
              <w:top w:w="17" w:type="dxa"/>
              <w:bottom w:w="17" w:type="dxa"/>
              <w:right w:w="28" w:type="dxa"/>
            </w:tcMar>
            <w:vAlign w:val="center"/>
            <w:hideMark/>
          </w:tcPr>
          <w:p w14:paraId="4CE6D899"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lastRenderedPageBreak/>
              <w:t>4.1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Zvýšenie energetickej efektívnosti </w:t>
            </w:r>
            <w:r w:rsidRPr="00BE67DE">
              <w:rPr>
                <w:rFonts w:ascii="Arial Narrow" w:hAnsi="Arial Narrow" w:cs="Calibri"/>
                <w:color w:val="000000"/>
                <w:spacing w:val="-2"/>
                <w:sz w:val="20"/>
                <w:szCs w:val="20"/>
              </w:rPr>
              <w:lastRenderedPageBreak/>
              <w:t>bytových domov</w:t>
            </w:r>
          </w:p>
        </w:tc>
        <w:tc>
          <w:tcPr>
            <w:tcW w:w="850" w:type="dxa"/>
            <w:shd w:val="clear" w:color="auto" w:fill="FFFFFF" w:themeFill="background1"/>
            <w:tcMar>
              <w:top w:w="17" w:type="dxa"/>
              <w:bottom w:w="17" w:type="dxa"/>
              <w:right w:w="28" w:type="dxa"/>
            </w:tcMar>
            <w:vAlign w:val="center"/>
            <w:hideMark/>
          </w:tcPr>
          <w:p w14:paraId="4F10312F"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lastRenderedPageBreak/>
              <w:t>MRR</w:t>
            </w:r>
          </w:p>
        </w:tc>
        <w:tc>
          <w:tcPr>
            <w:tcW w:w="1276" w:type="dxa"/>
            <w:shd w:val="clear" w:color="auto" w:fill="FFFFFF" w:themeFill="background1"/>
            <w:tcMar>
              <w:top w:w="17" w:type="dxa"/>
              <w:bottom w:w="17" w:type="dxa"/>
              <w:right w:w="28" w:type="dxa"/>
            </w:tcMar>
            <w:vAlign w:val="center"/>
          </w:tcPr>
          <w:p w14:paraId="3B3BBC7B"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187 647 410</w:t>
            </w:r>
          </w:p>
        </w:tc>
        <w:tc>
          <w:tcPr>
            <w:tcW w:w="1134" w:type="dxa"/>
            <w:shd w:val="clear" w:color="auto" w:fill="FFFFFF" w:themeFill="background1"/>
            <w:tcMar>
              <w:top w:w="17" w:type="dxa"/>
              <w:bottom w:w="17" w:type="dxa"/>
              <w:right w:w="28" w:type="dxa"/>
            </w:tcMar>
            <w:vAlign w:val="center"/>
          </w:tcPr>
          <w:p w14:paraId="7DBA7D71" w14:textId="77777777" w:rsidR="007D6EA2" w:rsidRPr="004A20D6" w:rsidRDefault="007D6EA2" w:rsidP="007D6EA2">
            <w:pPr>
              <w:ind w:right="28"/>
              <w:jc w:val="right"/>
              <w:rPr>
                <w:rFonts w:ascii="Arial Narrow" w:hAnsi="Arial Narrow" w:cs="Calibri"/>
                <w:spacing w:val="-2"/>
                <w:sz w:val="20"/>
                <w:szCs w:val="20"/>
              </w:rPr>
            </w:pPr>
            <w:r w:rsidRPr="00B35555">
              <w:rPr>
                <w:rFonts w:ascii="Arial Narrow" w:hAnsi="Arial Narrow" w:cs="Calibri"/>
                <w:spacing w:val="-2"/>
                <w:sz w:val="20"/>
                <w:szCs w:val="20"/>
              </w:rPr>
              <w:t>-10 241 307</w:t>
            </w:r>
          </w:p>
        </w:tc>
        <w:tc>
          <w:tcPr>
            <w:tcW w:w="1276" w:type="dxa"/>
            <w:shd w:val="clear" w:color="auto" w:fill="FFFFFF" w:themeFill="background1"/>
            <w:tcMar>
              <w:top w:w="17" w:type="dxa"/>
              <w:bottom w:w="17" w:type="dxa"/>
              <w:right w:w="28" w:type="dxa"/>
            </w:tcMar>
            <w:vAlign w:val="center"/>
          </w:tcPr>
          <w:p w14:paraId="766B522E"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177 406 103</w:t>
            </w:r>
            <w:r w:rsidRPr="00B35555">
              <w:rPr>
                <w:rFonts w:ascii="Arial Narrow" w:hAnsi="Arial Narrow" w:cs="Calibri"/>
                <w:spacing w:val="-2"/>
                <w:sz w:val="20"/>
                <w:szCs w:val="20"/>
              </w:rPr>
              <w:t xml:space="preserve"> </w:t>
            </w:r>
          </w:p>
        </w:tc>
        <w:tc>
          <w:tcPr>
            <w:tcW w:w="1985" w:type="dxa"/>
            <w:shd w:val="clear" w:color="auto" w:fill="FFFFFF" w:themeFill="background1"/>
            <w:vAlign w:val="center"/>
          </w:tcPr>
          <w:p w14:paraId="0E3CB1EA"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7D6EA2" w:rsidRPr="004A20D6" w14:paraId="2D29D5F4" w14:textId="77777777" w:rsidTr="007D6EA2">
        <w:tc>
          <w:tcPr>
            <w:tcW w:w="993" w:type="dxa"/>
            <w:vMerge/>
            <w:shd w:val="clear" w:color="auto" w:fill="FFFFFF" w:themeFill="background1"/>
            <w:tcMar>
              <w:top w:w="17" w:type="dxa"/>
              <w:bottom w:w="17" w:type="dxa"/>
              <w:right w:w="28" w:type="dxa"/>
            </w:tcMar>
            <w:vAlign w:val="center"/>
            <w:hideMark/>
          </w:tcPr>
          <w:p w14:paraId="1E36101A"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1B14682D"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78ED38B2"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3FA5074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18 288 760</w:t>
            </w:r>
          </w:p>
        </w:tc>
        <w:tc>
          <w:tcPr>
            <w:tcW w:w="1134" w:type="dxa"/>
            <w:shd w:val="clear" w:color="auto" w:fill="FFFFFF" w:themeFill="background1"/>
            <w:tcMar>
              <w:top w:w="17" w:type="dxa"/>
              <w:bottom w:w="17" w:type="dxa"/>
              <w:right w:w="28" w:type="dxa"/>
            </w:tcMar>
            <w:vAlign w:val="center"/>
          </w:tcPr>
          <w:p w14:paraId="39148642" w14:textId="77777777" w:rsidR="007D6EA2" w:rsidRPr="004A20D6" w:rsidRDefault="007D6EA2" w:rsidP="007D6EA2">
            <w:pPr>
              <w:ind w:right="28"/>
              <w:jc w:val="right"/>
              <w:rPr>
                <w:rFonts w:ascii="Arial Narrow" w:hAnsi="Arial Narrow" w:cs="Calibri"/>
                <w:spacing w:val="-2"/>
                <w:sz w:val="20"/>
                <w:szCs w:val="20"/>
              </w:rPr>
            </w:pPr>
            <w:r w:rsidRPr="00B35555">
              <w:rPr>
                <w:rFonts w:ascii="Arial Narrow" w:hAnsi="Arial Narrow" w:cs="Calibri"/>
                <w:spacing w:val="-2"/>
                <w:sz w:val="20"/>
                <w:szCs w:val="20"/>
              </w:rPr>
              <w:t>-864 55</w:t>
            </w:r>
            <w:r>
              <w:rPr>
                <w:rFonts w:ascii="Arial Narrow" w:hAnsi="Arial Narrow" w:cs="Calibri"/>
                <w:spacing w:val="-2"/>
                <w:sz w:val="20"/>
                <w:szCs w:val="20"/>
              </w:rPr>
              <w:t>4</w:t>
            </w:r>
          </w:p>
        </w:tc>
        <w:tc>
          <w:tcPr>
            <w:tcW w:w="1276" w:type="dxa"/>
            <w:shd w:val="clear" w:color="auto" w:fill="FFFFFF" w:themeFill="background1"/>
            <w:tcMar>
              <w:top w:w="17" w:type="dxa"/>
              <w:bottom w:w="17" w:type="dxa"/>
              <w:right w:w="28" w:type="dxa"/>
            </w:tcMar>
            <w:vAlign w:val="center"/>
          </w:tcPr>
          <w:p w14:paraId="636F618C"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17 424 206</w:t>
            </w:r>
          </w:p>
        </w:tc>
        <w:tc>
          <w:tcPr>
            <w:tcW w:w="1985" w:type="dxa"/>
            <w:shd w:val="clear" w:color="auto" w:fill="FFFFFF" w:themeFill="background1"/>
            <w:vAlign w:val="center"/>
          </w:tcPr>
          <w:p w14:paraId="42FE3451" w14:textId="77777777" w:rsidR="007D6EA2" w:rsidRPr="004A20D6" w:rsidRDefault="007D6EA2" w:rsidP="007D6EA2">
            <w:pPr>
              <w:rPr>
                <w:rFonts w:ascii="Arial Narrow" w:hAnsi="Arial Narrow" w:cs="Calibri"/>
                <w:spacing w:val="-2"/>
                <w:sz w:val="20"/>
                <w:szCs w:val="20"/>
              </w:rPr>
            </w:pPr>
          </w:p>
        </w:tc>
      </w:tr>
      <w:tr w:rsidR="007D6EA2" w:rsidRPr="004A20D6" w14:paraId="594B44B7" w14:textId="77777777" w:rsidTr="007D6EA2">
        <w:tc>
          <w:tcPr>
            <w:tcW w:w="993" w:type="dxa"/>
            <w:vMerge/>
            <w:tcMar>
              <w:top w:w="17" w:type="dxa"/>
              <w:bottom w:w="17" w:type="dxa"/>
              <w:right w:w="28" w:type="dxa"/>
            </w:tcMar>
            <w:vAlign w:val="center"/>
            <w:hideMark/>
          </w:tcPr>
          <w:p w14:paraId="3901B2E7"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113929C7"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4.2.1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Zásobovanie pitnou vodou a kanalizácie</w:t>
            </w:r>
          </w:p>
        </w:tc>
        <w:tc>
          <w:tcPr>
            <w:tcW w:w="850" w:type="dxa"/>
            <w:shd w:val="clear" w:color="auto" w:fill="FFFFFF" w:themeFill="background1"/>
            <w:tcMar>
              <w:top w:w="17" w:type="dxa"/>
              <w:bottom w:w="17" w:type="dxa"/>
              <w:right w:w="28" w:type="dxa"/>
            </w:tcMar>
            <w:vAlign w:val="center"/>
            <w:hideMark/>
          </w:tcPr>
          <w:p w14:paraId="5904734F"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1AC88A7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49 509 670</w:t>
            </w:r>
          </w:p>
        </w:tc>
        <w:tc>
          <w:tcPr>
            <w:tcW w:w="1134" w:type="dxa"/>
            <w:shd w:val="clear" w:color="auto" w:fill="FFFFFF" w:themeFill="background1"/>
            <w:tcMar>
              <w:top w:w="17" w:type="dxa"/>
              <w:bottom w:w="17" w:type="dxa"/>
              <w:right w:w="28" w:type="dxa"/>
            </w:tcMar>
            <w:vAlign w:val="center"/>
          </w:tcPr>
          <w:p w14:paraId="1A75FA16" w14:textId="77777777" w:rsidR="007D6EA2" w:rsidRPr="004A20D6" w:rsidRDefault="007D6EA2" w:rsidP="007D6EA2">
            <w:pPr>
              <w:ind w:right="28"/>
              <w:jc w:val="right"/>
              <w:rPr>
                <w:rFonts w:ascii="Arial Narrow" w:hAnsi="Arial Narrow" w:cs="Calibri"/>
                <w:spacing w:val="-2"/>
                <w:sz w:val="20"/>
                <w:szCs w:val="20"/>
              </w:rPr>
            </w:pPr>
            <w:r w:rsidRPr="00B35555">
              <w:rPr>
                <w:rFonts w:ascii="Arial Narrow" w:hAnsi="Arial Narrow" w:cs="Calibri"/>
                <w:spacing w:val="-2"/>
                <w:sz w:val="20"/>
                <w:szCs w:val="20"/>
              </w:rPr>
              <w:t>-5 353 196</w:t>
            </w:r>
          </w:p>
        </w:tc>
        <w:tc>
          <w:tcPr>
            <w:tcW w:w="1276" w:type="dxa"/>
            <w:shd w:val="clear" w:color="auto" w:fill="FFFFFF" w:themeFill="background1"/>
            <w:tcMar>
              <w:top w:w="17" w:type="dxa"/>
              <w:bottom w:w="17" w:type="dxa"/>
              <w:right w:w="28" w:type="dxa"/>
            </w:tcMar>
            <w:vAlign w:val="center"/>
          </w:tcPr>
          <w:p w14:paraId="3B07F090"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 xml:space="preserve">44 156 474  </w:t>
            </w:r>
          </w:p>
        </w:tc>
        <w:tc>
          <w:tcPr>
            <w:tcW w:w="1985" w:type="dxa"/>
            <w:shd w:val="clear" w:color="auto" w:fill="FFFFFF" w:themeFill="background1"/>
            <w:vAlign w:val="center"/>
          </w:tcPr>
          <w:p w14:paraId="3AA4A499"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7D6EA2" w:rsidRPr="004A20D6" w14:paraId="322A669B" w14:textId="77777777" w:rsidTr="007D6EA2">
        <w:tc>
          <w:tcPr>
            <w:tcW w:w="993" w:type="dxa"/>
            <w:vMerge/>
            <w:tcMar>
              <w:top w:w="17" w:type="dxa"/>
              <w:bottom w:w="17" w:type="dxa"/>
              <w:right w:w="28" w:type="dxa"/>
            </w:tcMar>
            <w:vAlign w:val="center"/>
            <w:hideMark/>
          </w:tcPr>
          <w:p w14:paraId="37981718"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60BABBCC"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76C37745"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43C37D10"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 xml:space="preserve">-  </w:t>
            </w:r>
          </w:p>
        </w:tc>
        <w:tc>
          <w:tcPr>
            <w:tcW w:w="1134" w:type="dxa"/>
            <w:shd w:val="clear" w:color="auto" w:fill="FFFFFF" w:themeFill="background1"/>
            <w:tcMar>
              <w:top w:w="17" w:type="dxa"/>
              <w:bottom w:w="17" w:type="dxa"/>
              <w:right w:w="28" w:type="dxa"/>
            </w:tcMar>
            <w:vAlign w:val="center"/>
          </w:tcPr>
          <w:p w14:paraId="3DA1B757"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w:t>
            </w:r>
          </w:p>
        </w:tc>
        <w:tc>
          <w:tcPr>
            <w:tcW w:w="1276" w:type="dxa"/>
            <w:shd w:val="clear" w:color="auto" w:fill="FFFFFF" w:themeFill="background1"/>
            <w:tcMar>
              <w:top w:w="17" w:type="dxa"/>
              <w:bottom w:w="17" w:type="dxa"/>
              <w:right w:w="28" w:type="dxa"/>
            </w:tcMar>
            <w:vAlign w:val="center"/>
          </w:tcPr>
          <w:p w14:paraId="000346F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 xml:space="preserve">-  </w:t>
            </w:r>
          </w:p>
        </w:tc>
        <w:tc>
          <w:tcPr>
            <w:tcW w:w="1985" w:type="dxa"/>
            <w:shd w:val="clear" w:color="auto" w:fill="FFFFFF" w:themeFill="background1"/>
            <w:vAlign w:val="center"/>
          </w:tcPr>
          <w:p w14:paraId="18C75591" w14:textId="77777777" w:rsidR="007D6EA2" w:rsidRPr="004A20D6" w:rsidRDefault="007D6EA2" w:rsidP="007D6EA2">
            <w:pPr>
              <w:rPr>
                <w:rFonts w:ascii="Arial Narrow" w:hAnsi="Arial Narrow" w:cs="Calibri"/>
                <w:spacing w:val="-2"/>
                <w:sz w:val="20"/>
                <w:szCs w:val="20"/>
              </w:rPr>
            </w:pPr>
          </w:p>
        </w:tc>
      </w:tr>
      <w:tr w:rsidR="007D6EA2" w:rsidRPr="004A20D6" w14:paraId="40986D2E" w14:textId="77777777" w:rsidTr="007D6EA2">
        <w:tc>
          <w:tcPr>
            <w:tcW w:w="993" w:type="dxa"/>
            <w:vMerge/>
            <w:tcMar>
              <w:top w:w="17" w:type="dxa"/>
              <w:bottom w:w="17" w:type="dxa"/>
              <w:right w:w="28" w:type="dxa"/>
            </w:tcMar>
            <w:vAlign w:val="center"/>
            <w:hideMark/>
          </w:tcPr>
          <w:p w14:paraId="1FAF2230"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1CBF4D6A" w14:textId="77777777" w:rsidR="007D6EA2" w:rsidRPr="00BE67DE" w:rsidRDefault="007D6EA2" w:rsidP="007D6EA2">
            <w:pPr>
              <w:rPr>
                <w:rFonts w:ascii="Arial Narrow" w:hAnsi="Arial Narrow" w:cs="Calibri"/>
                <w:color w:val="000000"/>
                <w:spacing w:val="-2"/>
                <w:sz w:val="20"/>
                <w:szCs w:val="20"/>
              </w:rPr>
            </w:pPr>
            <w:r w:rsidRPr="00BE67DE">
              <w:rPr>
                <w:rFonts w:ascii="Arial Narrow" w:hAnsi="Arial Narrow" w:cs="Calibri"/>
                <w:color w:val="000000"/>
                <w:spacing w:val="-2"/>
                <w:sz w:val="20"/>
                <w:szCs w:val="20"/>
              </w:rPr>
              <w:t>4.3.1</w:t>
            </w:r>
            <w:r>
              <w:rPr>
                <w:rFonts w:ascii="Arial Narrow" w:hAnsi="Arial Narrow" w:cs="Calibri"/>
                <w:color w:val="000000"/>
                <w:spacing w:val="-2"/>
                <w:sz w:val="20"/>
                <w:szCs w:val="20"/>
              </w:rPr>
              <w:t>.</w:t>
            </w:r>
            <w:r w:rsidRPr="00BE67DE">
              <w:rPr>
                <w:rFonts w:ascii="Arial Narrow" w:hAnsi="Arial Narrow" w:cs="Calibri"/>
                <w:color w:val="000000"/>
                <w:spacing w:val="-2"/>
                <w:sz w:val="20"/>
                <w:szCs w:val="20"/>
              </w:rPr>
              <w:t xml:space="preserve"> Zelená infraštruktúra</w:t>
            </w:r>
          </w:p>
        </w:tc>
        <w:tc>
          <w:tcPr>
            <w:tcW w:w="850" w:type="dxa"/>
            <w:shd w:val="clear" w:color="auto" w:fill="FFFFFF" w:themeFill="background1"/>
            <w:tcMar>
              <w:top w:w="17" w:type="dxa"/>
              <w:bottom w:w="17" w:type="dxa"/>
              <w:right w:w="28" w:type="dxa"/>
            </w:tcMar>
            <w:vAlign w:val="center"/>
            <w:hideMark/>
          </w:tcPr>
          <w:p w14:paraId="72099FA7"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FFFFFF" w:themeFill="background1"/>
            <w:tcMar>
              <w:top w:w="17" w:type="dxa"/>
              <w:bottom w:w="17" w:type="dxa"/>
              <w:right w:w="28" w:type="dxa"/>
            </w:tcMar>
            <w:vAlign w:val="center"/>
          </w:tcPr>
          <w:p w14:paraId="763EBE71"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45 582</w:t>
            </w:r>
            <w:r>
              <w:rPr>
                <w:rFonts w:ascii="Arial Narrow" w:hAnsi="Arial Narrow" w:cs="Calibri"/>
                <w:color w:val="000000"/>
                <w:spacing w:val="-2"/>
                <w:sz w:val="20"/>
                <w:szCs w:val="20"/>
              </w:rPr>
              <w:t> </w:t>
            </w:r>
            <w:r w:rsidRPr="00EB1889">
              <w:rPr>
                <w:rFonts w:ascii="Arial Narrow" w:hAnsi="Arial Narrow" w:cs="Calibri"/>
                <w:color w:val="000000"/>
                <w:spacing w:val="-2"/>
                <w:sz w:val="20"/>
                <w:szCs w:val="20"/>
              </w:rPr>
              <w:t>924</w:t>
            </w:r>
          </w:p>
        </w:tc>
        <w:tc>
          <w:tcPr>
            <w:tcW w:w="1134" w:type="dxa"/>
            <w:shd w:val="clear" w:color="auto" w:fill="FFFFFF" w:themeFill="background1"/>
            <w:tcMar>
              <w:top w:w="17" w:type="dxa"/>
              <w:bottom w:w="17" w:type="dxa"/>
              <w:right w:w="28" w:type="dxa"/>
            </w:tcMar>
            <w:vAlign w:val="center"/>
          </w:tcPr>
          <w:p w14:paraId="601CE584" w14:textId="77777777" w:rsidR="007D6EA2" w:rsidRPr="004A20D6" w:rsidRDefault="007D6EA2" w:rsidP="007D6EA2">
            <w:pPr>
              <w:ind w:right="28"/>
              <w:jc w:val="right"/>
              <w:rPr>
                <w:rFonts w:ascii="Arial Narrow" w:hAnsi="Arial Narrow" w:cs="Calibri"/>
                <w:spacing w:val="-2"/>
                <w:sz w:val="20"/>
                <w:szCs w:val="20"/>
              </w:rPr>
            </w:pPr>
            <w:r w:rsidRPr="00B35555">
              <w:rPr>
                <w:rFonts w:ascii="Arial Narrow" w:hAnsi="Arial Narrow" w:cs="Calibri"/>
                <w:spacing w:val="-2"/>
                <w:sz w:val="20"/>
                <w:szCs w:val="20"/>
              </w:rPr>
              <w:t>-5 353 195</w:t>
            </w:r>
          </w:p>
        </w:tc>
        <w:tc>
          <w:tcPr>
            <w:tcW w:w="1276" w:type="dxa"/>
            <w:shd w:val="clear" w:color="auto" w:fill="FFFFFF" w:themeFill="background1"/>
            <w:tcMar>
              <w:top w:w="17" w:type="dxa"/>
              <w:bottom w:w="17" w:type="dxa"/>
              <w:right w:w="28" w:type="dxa"/>
            </w:tcMar>
            <w:vAlign w:val="center"/>
          </w:tcPr>
          <w:p w14:paraId="4F9DEB8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40 229 729</w:t>
            </w:r>
            <w:r w:rsidRPr="00B35555">
              <w:rPr>
                <w:rFonts w:ascii="Arial Narrow" w:hAnsi="Arial Narrow" w:cs="Calibri"/>
                <w:spacing w:val="-2"/>
                <w:sz w:val="20"/>
                <w:szCs w:val="20"/>
              </w:rPr>
              <w:t xml:space="preserve"> </w:t>
            </w:r>
          </w:p>
        </w:tc>
        <w:tc>
          <w:tcPr>
            <w:tcW w:w="1985" w:type="dxa"/>
            <w:shd w:val="clear" w:color="auto" w:fill="FFFFFF" w:themeFill="background1"/>
            <w:vAlign w:val="center"/>
          </w:tcPr>
          <w:p w14:paraId="78611CBD"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w:t>
            </w:r>
            <w:r w:rsidRPr="00B35555">
              <w:rPr>
                <w:rFonts w:ascii="Arial Narrow" w:hAnsi="Arial Narrow" w:cs="Calibri"/>
                <w:spacing w:val="-2"/>
                <w:sz w:val="20"/>
                <w:szCs w:val="20"/>
              </w:rPr>
              <w:t xml:space="preserve"> PO</w:t>
            </w:r>
            <w:r>
              <w:rPr>
                <w:rFonts w:ascii="Arial Narrow" w:hAnsi="Arial Narrow" w:cs="Calibri"/>
                <w:spacing w:val="-2"/>
                <w:sz w:val="20"/>
                <w:szCs w:val="20"/>
              </w:rPr>
              <w:t>1</w:t>
            </w:r>
          </w:p>
        </w:tc>
      </w:tr>
      <w:tr w:rsidR="007D6EA2" w:rsidRPr="004A20D6" w14:paraId="72DEB16A" w14:textId="77777777" w:rsidTr="007D6EA2">
        <w:tc>
          <w:tcPr>
            <w:tcW w:w="993" w:type="dxa"/>
            <w:vMerge/>
            <w:tcMar>
              <w:top w:w="17" w:type="dxa"/>
              <w:bottom w:w="17" w:type="dxa"/>
              <w:right w:w="28" w:type="dxa"/>
            </w:tcMar>
            <w:vAlign w:val="center"/>
            <w:hideMark/>
          </w:tcPr>
          <w:p w14:paraId="32A1548E"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72359311" w14:textId="77777777" w:rsidR="007D6EA2" w:rsidRPr="00BE67DE" w:rsidRDefault="007D6EA2" w:rsidP="007D6EA2">
            <w:pPr>
              <w:rPr>
                <w:rFonts w:ascii="Arial Narrow" w:hAnsi="Arial Narrow" w:cs="Calibri"/>
                <w:color w:val="000000"/>
                <w:spacing w:val="-2"/>
                <w:sz w:val="20"/>
                <w:szCs w:val="20"/>
              </w:rPr>
            </w:pPr>
          </w:p>
        </w:tc>
        <w:tc>
          <w:tcPr>
            <w:tcW w:w="850" w:type="dxa"/>
            <w:shd w:val="clear" w:color="auto" w:fill="FFFFFF" w:themeFill="background1"/>
            <w:tcMar>
              <w:top w:w="17" w:type="dxa"/>
              <w:bottom w:w="17" w:type="dxa"/>
              <w:right w:w="28" w:type="dxa"/>
            </w:tcMar>
            <w:vAlign w:val="center"/>
            <w:hideMark/>
          </w:tcPr>
          <w:p w14:paraId="0C57D7F5"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FFFFFF" w:themeFill="background1"/>
            <w:tcMar>
              <w:top w:w="17" w:type="dxa"/>
              <w:bottom w:w="17" w:type="dxa"/>
              <w:right w:w="28" w:type="dxa"/>
            </w:tcMar>
            <w:vAlign w:val="center"/>
          </w:tcPr>
          <w:p w14:paraId="21049152"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w:t>
            </w:r>
          </w:p>
        </w:tc>
        <w:tc>
          <w:tcPr>
            <w:tcW w:w="1134" w:type="dxa"/>
            <w:shd w:val="clear" w:color="auto" w:fill="FFFFFF" w:themeFill="background1"/>
            <w:tcMar>
              <w:top w:w="17" w:type="dxa"/>
              <w:bottom w:w="17" w:type="dxa"/>
              <w:right w:w="28" w:type="dxa"/>
            </w:tcMar>
            <w:vAlign w:val="center"/>
          </w:tcPr>
          <w:p w14:paraId="4747BCEC"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w:t>
            </w:r>
          </w:p>
        </w:tc>
        <w:tc>
          <w:tcPr>
            <w:tcW w:w="1276" w:type="dxa"/>
            <w:shd w:val="clear" w:color="auto" w:fill="FFFFFF" w:themeFill="background1"/>
            <w:tcMar>
              <w:top w:w="17" w:type="dxa"/>
              <w:bottom w:w="17" w:type="dxa"/>
              <w:right w:w="28" w:type="dxa"/>
            </w:tcMar>
            <w:vAlign w:val="center"/>
          </w:tcPr>
          <w:p w14:paraId="2627842D"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pacing w:val="-2"/>
                <w:sz w:val="20"/>
                <w:szCs w:val="20"/>
              </w:rPr>
              <w:t>-</w:t>
            </w:r>
          </w:p>
        </w:tc>
        <w:tc>
          <w:tcPr>
            <w:tcW w:w="1985" w:type="dxa"/>
            <w:shd w:val="clear" w:color="auto" w:fill="FFFFFF" w:themeFill="background1"/>
            <w:vAlign w:val="center"/>
          </w:tcPr>
          <w:p w14:paraId="55066F0A" w14:textId="77777777" w:rsidR="007D6EA2" w:rsidRPr="004A20D6" w:rsidRDefault="007D6EA2" w:rsidP="007D6EA2">
            <w:pPr>
              <w:rPr>
                <w:rFonts w:ascii="Arial Narrow" w:hAnsi="Arial Narrow" w:cs="Calibri"/>
                <w:spacing w:val="-2"/>
                <w:sz w:val="20"/>
                <w:szCs w:val="20"/>
              </w:rPr>
            </w:pPr>
          </w:p>
        </w:tc>
      </w:tr>
      <w:tr w:rsidR="007D6EA2" w:rsidRPr="004A20D6" w14:paraId="729F932D" w14:textId="77777777" w:rsidTr="007D6EA2">
        <w:tc>
          <w:tcPr>
            <w:tcW w:w="993" w:type="dxa"/>
            <w:vMerge/>
            <w:tcMar>
              <w:top w:w="17" w:type="dxa"/>
              <w:bottom w:w="17" w:type="dxa"/>
              <w:right w:w="28" w:type="dxa"/>
            </w:tcMar>
            <w:vAlign w:val="center"/>
            <w:hideMark/>
          </w:tcPr>
          <w:p w14:paraId="64492717"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DBE5F1" w:themeFill="accent1" w:themeFillTint="33"/>
            <w:tcMar>
              <w:top w:w="17" w:type="dxa"/>
              <w:bottom w:w="17" w:type="dxa"/>
              <w:right w:w="28" w:type="dxa"/>
            </w:tcMar>
            <w:vAlign w:val="center"/>
            <w:hideMark/>
          </w:tcPr>
          <w:p w14:paraId="656D99A9"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auto" w:fill="DBE5F1" w:themeFill="accent1" w:themeFillTint="33"/>
            <w:tcMar>
              <w:top w:w="17" w:type="dxa"/>
              <w:bottom w:w="17" w:type="dxa"/>
              <w:right w:w="28" w:type="dxa"/>
            </w:tcMar>
            <w:vAlign w:val="center"/>
            <w:hideMark/>
          </w:tcPr>
          <w:p w14:paraId="38ACCF59"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DBE5F1" w:themeFill="accent1" w:themeFillTint="33"/>
            <w:tcMar>
              <w:top w:w="17" w:type="dxa"/>
              <w:bottom w:w="17" w:type="dxa"/>
              <w:right w:w="28" w:type="dxa"/>
            </w:tcMar>
            <w:vAlign w:val="center"/>
          </w:tcPr>
          <w:p w14:paraId="589B52D6"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282 740 004</w:t>
            </w:r>
          </w:p>
        </w:tc>
        <w:tc>
          <w:tcPr>
            <w:tcW w:w="1134" w:type="dxa"/>
            <w:shd w:val="clear" w:color="auto" w:fill="DBE5F1" w:themeFill="accent1" w:themeFillTint="33"/>
            <w:tcMar>
              <w:top w:w="17" w:type="dxa"/>
              <w:bottom w:w="17" w:type="dxa"/>
              <w:right w:w="28" w:type="dxa"/>
            </w:tcMar>
            <w:vAlign w:val="center"/>
          </w:tcPr>
          <w:p w14:paraId="59C5BCD9"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-20 947 698</w:t>
            </w:r>
            <w:r w:rsidRPr="00F7778B">
              <w:rPr>
                <w:rFonts w:ascii="Arial Narrow" w:hAnsi="Arial Narrow" w:cs="Calibri"/>
                <w:spacing w:val="-2"/>
                <w:sz w:val="20"/>
                <w:szCs w:val="20"/>
              </w:rPr>
              <w:t xml:space="preserve">  </w:t>
            </w:r>
          </w:p>
        </w:tc>
        <w:tc>
          <w:tcPr>
            <w:tcW w:w="1276" w:type="dxa"/>
            <w:shd w:val="clear" w:color="auto" w:fill="DBE5F1" w:themeFill="accent1" w:themeFillTint="33"/>
            <w:tcMar>
              <w:top w:w="17" w:type="dxa"/>
              <w:bottom w:w="17" w:type="dxa"/>
              <w:right w:w="28" w:type="dxa"/>
            </w:tcMar>
            <w:vAlign w:val="center"/>
          </w:tcPr>
          <w:p w14:paraId="11EABA42"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261 792 306</w:t>
            </w:r>
            <w:r w:rsidRPr="00B35555">
              <w:rPr>
                <w:rFonts w:ascii="Arial Narrow" w:hAnsi="Arial Narrow" w:cs="Calibri"/>
                <w:spacing w:val="-2"/>
                <w:sz w:val="20"/>
                <w:szCs w:val="20"/>
              </w:rPr>
              <w:t xml:space="preserve">  </w:t>
            </w:r>
          </w:p>
        </w:tc>
        <w:tc>
          <w:tcPr>
            <w:tcW w:w="1985" w:type="dxa"/>
            <w:shd w:val="clear" w:color="auto" w:fill="DBE5F1" w:themeFill="accent1" w:themeFillTint="33"/>
            <w:vAlign w:val="center"/>
          </w:tcPr>
          <w:p w14:paraId="74F83F41" w14:textId="77777777" w:rsidR="007D6EA2" w:rsidRPr="004A20D6" w:rsidRDefault="007D6EA2" w:rsidP="007D6EA2">
            <w:pPr>
              <w:rPr>
                <w:rFonts w:ascii="Arial Narrow" w:hAnsi="Arial Narrow" w:cs="Calibri"/>
                <w:spacing w:val="-2"/>
                <w:sz w:val="20"/>
                <w:szCs w:val="20"/>
              </w:rPr>
            </w:pPr>
          </w:p>
        </w:tc>
      </w:tr>
      <w:tr w:rsidR="007D6EA2" w:rsidRPr="004A20D6" w14:paraId="284790B9" w14:textId="77777777" w:rsidTr="007D6EA2">
        <w:tc>
          <w:tcPr>
            <w:tcW w:w="993" w:type="dxa"/>
            <w:vMerge/>
            <w:tcMar>
              <w:top w:w="17" w:type="dxa"/>
              <w:bottom w:w="17" w:type="dxa"/>
              <w:right w:w="28" w:type="dxa"/>
            </w:tcMar>
            <w:vAlign w:val="center"/>
            <w:hideMark/>
          </w:tcPr>
          <w:p w14:paraId="6EDE1B35"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DBE5F1" w:themeFill="accent1" w:themeFillTint="33"/>
            <w:tcMar>
              <w:top w:w="17" w:type="dxa"/>
              <w:bottom w:w="17" w:type="dxa"/>
              <w:right w:w="28" w:type="dxa"/>
            </w:tcMar>
            <w:vAlign w:val="center"/>
            <w:hideMark/>
          </w:tcPr>
          <w:p w14:paraId="59C6B5D1"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auto" w:fill="DBE5F1" w:themeFill="accent1" w:themeFillTint="33"/>
            <w:tcMar>
              <w:top w:w="17" w:type="dxa"/>
              <w:bottom w:w="17" w:type="dxa"/>
              <w:right w:w="28" w:type="dxa"/>
            </w:tcMar>
            <w:vAlign w:val="center"/>
            <w:hideMark/>
          </w:tcPr>
          <w:p w14:paraId="3739EC9E"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DBE5F1" w:themeFill="accent1" w:themeFillTint="33"/>
            <w:tcMar>
              <w:top w:w="17" w:type="dxa"/>
              <w:bottom w:w="17" w:type="dxa"/>
              <w:right w:w="28" w:type="dxa"/>
            </w:tcMar>
            <w:vAlign w:val="center"/>
          </w:tcPr>
          <w:p w14:paraId="44372D22"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18 288 760</w:t>
            </w:r>
          </w:p>
        </w:tc>
        <w:tc>
          <w:tcPr>
            <w:tcW w:w="1134" w:type="dxa"/>
            <w:shd w:val="clear" w:color="auto" w:fill="DBE5F1" w:themeFill="accent1" w:themeFillTint="33"/>
            <w:tcMar>
              <w:top w:w="17" w:type="dxa"/>
              <w:bottom w:w="17" w:type="dxa"/>
              <w:right w:w="28" w:type="dxa"/>
            </w:tcMar>
            <w:vAlign w:val="center"/>
          </w:tcPr>
          <w:p w14:paraId="13CB52FC"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-864 555</w:t>
            </w:r>
            <w:r w:rsidRPr="00F7778B">
              <w:rPr>
                <w:rFonts w:ascii="Arial Narrow" w:hAnsi="Arial Narrow" w:cs="Calibri"/>
                <w:spacing w:val="-2"/>
                <w:sz w:val="20"/>
                <w:szCs w:val="20"/>
              </w:rPr>
              <w:t xml:space="preserve">   </w:t>
            </w:r>
          </w:p>
        </w:tc>
        <w:tc>
          <w:tcPr>
            <w:tcW w:w="1276" w:type="dxa"/>
            <w:shd w:val="clear" w:color="auto" w:fill="DBE5F1" w:themeFill="accent1" w:themeFillTint="33"/>
            <w:tcMar>
              <w:top w:w="17" w:type="dxa"/>
              <w:bottom w:w="17" w:type="dxa"/>
              <w:right w:w="28" w:type="dxa"/>
            </w:tcMar>
            <w:vAlign w:val="center"/>
          </w:tcPr>
          <w:p w14:paraId="7A3B5B0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 xml:space="preserve">17 424 206  </w:t>
            </w:r>
          </w:p>
        </w:tc>
        <w:tc>
          <w:tcPr>
            <w:tcW w:w="1985" w:type="dxa"/>
            <w:shd w:val="clear" w:color="auto" w:fill="DBE5F1" w:themeFill="accent1" w:themeFillTint="33"/>
            <w:vAlign w:val="center"/>
          </w:tcPr>
          <w:p w14:paraId="521FC7FA" w14:textId="77777777" w:rsidR="007D6EA2" w:rsidRPr="004A20D6" w:rsidRDefault="007D6EA2" w:rsidP="007D6EA2">
            <w:pPr>
              <w:rPr>
                <w:rFonts w:ascii="Arial Narrow" w:hAnsi="Arial Narrow" w:cs="Calibri"/>
                <w:spacing w:val="-2"/>
                <w:sz w:val="20"/>
                <w:szCs w:val="20"/>
              </w:rPr>
            </w:pPr>
          </w:p>
        </w:tc>
      </w:tr>
      <w:tr w:rsidR="007D6EA2" w:rsidRPr="004A20D6" w14:paraId="5E30333A" w14:textId="77777777" w:rsidTr="007D6EA2">
        <w:tc>
          <w:tcPr>
            <w:tcW w:w="993" w:type="dxa"/>
            <w:vMerge/>
            <w:tcMar>
              <w:top w:w="17" w:type="dxa"/>
              <w:bottom w:w="17" w:type="dxa"/>
              <w:right w:w="28" w:type="dxa"/>
            </w:tcMar>
            <w:vAlign w:val="center"/>
            <w:hideMark/>
          </w:tcPr>
          <w:p w14:paraId="5C87C6F2"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95B3D7" w:themeFill="accent1" w:themeFillTint="99"/>
            <w:tcMar>
              <w:top w:w="17" w:type="dxa"/>
              <w:bottom w:w="17" w:type="dxa"/>
              <w:right w:w="28" w:type="dxa"/>
            </w:tcMar>
            <w:vAlign w:val="center"/>
            <w:hideMark/>
          </w:tcPr>
          <w:p w14:paraId="5FE82587"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5B3D7" w:themeFill="accent1" w:themeFillTint="99"/>
            <w:tcMar>
              <w:top w:w="17" w:type="dxa"/>
              <w:bottom w:w="17" w:type="dxa"/>
              <w:right w:w="28" w:type="dxa"/>
            </w:tcMar>
            <w:vAlign w:val="center"/>
            <w:hideMark/>
          </w:tcPr>
          <w:p w14:paraId="67F4904B"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5B3D7" w:themeFill="accent1" w:themeFillTint="99"/>
            <w:tcMar>
              <w:top w:w="17" w:type="dxa"/>
              <w:bottom w:w="17" w:type="dxa"/>
              <w:right w:w="28" w:type="dxa"/>
            </w:tcMar>
            <w:vAlign w:val="center"/>
          </w:tcPr>
          <w:p w14:paraId="2C508ECC"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301 028 764</w:t>
            </w:r>
          </w:p>
        </w:tc>
        <w:tc>
          <w:tcPr>
            <w:tcW w:w="1134" w:type="dxa"/>
            <w:shd w:val="clear" w:color="auto" w:fill="95B3D7" w:themeFill="accent1" w:themeFillTint="99"/>
            <w:tcMar>
              <w:top w:w="17" w:type="dxa"/>
              <w:bottom w:w="17" w:type="dxa"/>
              <w:right w:w="28" w:type="dxa"/>
            </w:tcMar>
            <w:vAlign w:val="center"/>
          </w:tcPr>
          <w:p w14:paraId="2983041F"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-21 812 253</w:t>
            </w:r>
            <w:r w:rsidRPr="00F7778B">
              <w:rPr>
                <w:rFonts w:ascii="Arial Narrow" w:hAnsi="Arial Narrow" w:cs="Calibri"/>
                <w:spacing w:val="-2"/>
                <w:sz w:val="20"/>
                <w:szCs w:val="20"/>
              </w:rPr>
              <w:t xml:space="preserve">   </w:t>
            </w:r>
          </w:p>
        </w:tc>
        <w:tc>
          <w:tcPr>
            <w:tcW w:w="1276" w:type="dxa"/>
            <w:shd w:val="clear" w:color="auto" w:fill="95B3D7" w:themeFill="accent1" w:themeFillTint="99"/>
            <w:tcMar>
              <w:top w:w="17" w:type="dxa"/>
              <w:bottom w:w="17" w:type="dxa"/>
              <w:right w:w="28" w:type="dxa"/>
            </w:tcMar>
            <w:vAlign w:val="center"/>
          </w:tcPr>
          <w:p w14:paraId="2241F533"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279 216 512</w:t>
            </w:r>
            <w:r w:rsidRPr="00B35555">
              <w:rPr>
                <w:rFonts w:ascii="Arial Narrow" w:hAnsi="Arial Narrow" w:cs="Calibri"/>
                <w:spacing w:val="-2"/>
                <w:sz w:val="20"/>
                <w:szCs w:val="20"/>
              </w:rPr>
              <w:t xml:space="preserve">  </w:t>
            </w:r>
          </w:p>
        </w:tc>
        <w:tc>
          <w:tcPr>
            <w:tcW w:w="1985" w:type="dxa"/>
            <w:shd w:val="clear" w:color="auto" w:fill="95B3D7" w:themeFill="accent1" w:themeFillTint="99"/>
            <w:vAlign w:val="center"/>
          </w:tcPr>
          <w:p w14:paraId="57687A7F" w14:textId="77777777" w:rsidR="007D6EA2" w:rsidRPr="004A20D6" w:rsidRDefault="007D6EA2" w:rsidP="007D6EA2">
            <w:pPr>
              <w:rPr>
                <w:rFonts w:ascii="Arial Narrow" w:hAnsi="Arial Narrow" w:cs="Calibri"/>
                <w:spacing w:val="-2"/>
                <w:sz w:val="20"/>
                <w:szCs w:val="20"/>
              </w:rPr>
            </w:pPr>
          </w:p>
        </w:tc>
      </w:tr>
      <w:tr w:rsidR="007D6EA2" w:rsidRPr="004A20D6" w14:paraId="4043C904" w14:textId="77777777" w:rsidTr="007D6EA2">
        <w:tc>
          <w:tcPr>
            <w:tcW w:w="993" w:type="dxa"/>
            <w:vMerge w:val="restart"/>
            <w:shd w:val="clear" w:color="auto" w:fill="auto"/>
            <w:tcMar>
              <w:top w:w="17" w:type="dxa"/>
              <w:bottom w:w="17" w:type="dxa"/>
              <w:right w:w="28" w:type="dxa"/>
            </w:tcMar>
            <w:vAlign w:val="center"/>
            <w:hideMark/>
          </w:tcPr>
          <w:p w14:paraId="7A2A10C8" w14:textId="77777777" w:rsidR="007D6EA2" w:rsidRPr="004A20D6" w:rsidRDefault="007D6EA2" w:rsidP="007D6EA2">
            <w:pPr>
              <w:rPr>
                <w:rFonts w:ascii="Arial Narrow" w:hAnsi="Arial Narrow" w:cs="Calibri"/>
                <w:b/>
                <w:bCs/>
                <w:spacing w:val="-2"/>
                <w:sz w:val="20"/>
                <w:szCs w:val="20"/>
              </w:rPr>
            </w:pPr>
            <w:r w:rsidRPr="004A20D6">
              <w:rPr>
                <w:rFonts w:ascii="Arial Narrow" w:hAnsi="Arial Narrow" w:cs="Calibri"/>
                <w:b/>
                <w:bCs/>
                <w:spacing w:val="-2"/>
                <w:sz w:val="20"/>
                <w:szCs w:val="20"/>
              </w:rPr>
              <w:t xml:space="preserve">5. </w:t>
            </w:r>
          </w:p>
          <w:p w14:paraId="3AD2CB42" w14:textId="77777777" w:rsidR="007D6EA2" w:rsidRPr="004A20D6" w:rsidRDefault="007D6EA2" w:rsidP="007D6EA2">
            <w:pPr>
              <w:rPr>
                <w:rFonts w:ascii="Arial Narrow" w:hAnsi="Arial Narrow" w:cs="Calibri"/>
                <w:b/>
                <w:bCs/>
                <w:spacing w:val="-2"/>
                <w:sz w:val="20"/>
                <w:szCs w:val="20"/>
              </w:rPr>
            </w:pPr>
            <w:r w:rsidRPr="004A20D6">
              <w:rPr>
                <w:rFonts w:ascii="Arial Narrow" w:hAnsi="Arial Narrow" w:cs="Calibri"/>
                <w:b/>
                <w:bCs/>
                <w:spacing w:val="-2"/>
                <w:sz w:val="20"/>
                <w:szCs w:val="20"/>
              </w:rPr>
              <w:t>Miestny rozvoj vedený komunitou</w:t>
            </w:r>
          </w:p>
        </w:tc>
        <w:tc>
          <w:tcPr>
            <w:tcW w:w="3119" w:type="dxa"/>
            <w:vMerge w:val="restart"/>
            <w:shd w:val="clear" w:color="auto" w:fill="auto"/>
            <w:tcMar>
              <w:top w:w="17" w:type="dxa"/>
              <w:bottom w:w="17" w:type="dxa"/>
              <w:right w:w="28" w:type="dxa"/>
            </w:tcMar>
            <w:vAlign w:val="center"/>
            <w:hideMark/>
          </w:tcPr>
          <w:p w14:paraId="43CC6D88"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5.1.1</w:t>
            </w:r>
            <w:r>
              <w:rPr>
                <w:rFonts w:ascii="Arial Narrow" w:hAnsi="Arial Narrow" w:cs="Calibri"/>
                <w:spacing w:val="-2"/>
                <w:sz w:val="20"/>
                <w:szCs w:val="20"/>
              </w:rPr>
              <w:t>.</w:t>
            </w:r>
            <w:r w:rsidRPr="00BE67DE">
              <w:rPr>
                <w:rFonts w:ascii="Arial Narrow" w:hAnsi="Arial Narrow" w:cs="Calibri"/>
                <w:spacing w:val="-2"/>
                <w:sz w:val="20"/>
                <w:szCs w:val="20"/>
              </w:rPr>
              <w:t xml:space="preserve"> Zvýšenie zamestnanosti </w:t>
            </w:r>
          </w:p>
        </w:tc>
        <w:tc>
          <w:tcPr>
            <w:tcW w:w="850" w:type="dxa"/>
            <w:shd w:val="clear" w:color="auto" w:fill="auto"/>
            <w:tcMar>
              <w:top w:w="17" w:type="dxa"/>
              <w:bottom w:w="17" w:type="dxa"/>
              <w:right w:w="28" w:type="dxa"/>
            </w:tcMar>
            <w:vAlign w:val="center"/>
            <w:hideMark/>
          </w:tcPr>
          <w:p w14:paraId="1492C9FC"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auto"/>
            <w:tcMar>
              <w:top w:w="17" w:type="dxa"/>
              <w:bottom w:w="17" w:type="dxa"/>
              <w:right w:w="28" w:type="dxa"/>
            </w:tcMar>
            <w:vAlign w:val="center"/>
          </w:tcPr>
          <w:p w14:paraId="5E5B7846"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45 743 307</w:t>
            </w:r>
          </w:p>
        </w:tc>
        <w:tc>
          <w:tcPr>
            <w:tcW w:w="1134" w:type="dxa"/>
            <w:shd w:val="clear" w:color="auto" w:fill="auto"/>
            <w:tcMar>
              <w:top w:w="17" w:type="dxa"/>
              <w:bottom w:w="17" w:type="dxa"/>
              <w:right w:w="28" w:type="dxa"/>
            </w:tcMar>
            <w:vAlign w:val="center"/>
          </w:tcPr>
          <w:p w14:paraId="76220A51" w14:textId="77777777" w:rsidR="007D6EA2" w:rsidRPr="004A20D6" w:rsidRDefault="007D6EA2" w:rsidP="007D6EA2">
            <w:pPr>
              <w:ind w:right="28"/>
              <w:jc w:val="right"/>
              <w:rPr>
                <w:rFonts w:ascii="Arial Narrow" w:hAnsi="Arial Narrow" w:cs="Calibri"/>
                <w:spacing w:val="-2"/>
                <w:sz w:val="20"/>
                <w:szCs w:val="20"/>
              </w:rPr>
            </w:pPr>
            <w:r w:rsidRPr="000B6C08">
              <w:rPr>
                <w:rFonts w:ascii="Arial Narrow" w:hAnsi="Arial Narrow" w:cs="Calibri"/>
                <w:spacing w:val="-2"/>
                <w:sz w:val="20"/>
                <w:szCs w:val="20"/>
              </w:rPr>
              <w:t>-10</w:t>
            </w:r>
            <w:r>
              <w:rPr>
                <w:rFonts w:ascii="Arial Narrow" w:hAnsi="Arial Narrow" w:cs="Calibri"/>
                <w:spacing w:val="-2"/>
                <w:sz w:val="20"/>
                <w:szCs w:val="20"/>
              </w:rPr>
              <w:t xml:space="preserve"> </w:t>
            </w:r>
            <w:r w:rsidRPr="000B6C08">
              <w:rPr>
                <w:rFonts w:ascii="Arial Narrow" w:hAnsi="Arial Narrow" w:cs="Calibri"/>
                <w:spacing w:val="-2"/>
                <w:sz w:val="20"/>
                <w:szCs w:val="20"/>
              </w:rPr>
              <w:t>346</w:t>
            </w:r>
            <w:r>
              <w:rPr>
                <w:rFonts w:ascii="Arial Narrow" w:hAnsi="Arial Narrow" w:cs="Calibri"/>
                <w:spacing w:val="-2"/>
                <w:sz w:val="20"/>
                <w:szCs w:val="20"/>
              </w:rPr>
              <w:t xml:space="preserve"> </w:t>
            </w:r>
            <w:r w:rsidRPr="000B6C08">
              <w:rPr>
                <w:rFonts w:ascii="Arial Narrow" w:hAnsi="Arial Narrow" w:cs="Calibri"/>
                <w:spacing w:val="-2"/>
                <w:sz w:val="20"/>
                <w:szCs w:val="20"/>
              </w:rPr>
              <w:t>307</w:t>
            </w:r>
          </w:p>
        </w:tc>
        <w:tc>
          <w:tcPr>
            <w:tcW w:w="1276" w:type="dxa"/>
            <w:shd w:val="clear" w:color="auto" w:fill="auto"/>
            <w:tcMar>
              <w:top w:w="17" w:type="dxa"/>
              <w:bottom w:w="17" w:type="dxa"/>
              <w:right w:w="28" w:type="dxa"/>
            </w:tcMar>
            <w:vAlign w:val="center"/>
          </w:tcPr>
          <w:p w14:paraId="12F2AD0E"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35 397 000</w:t>
            </w:r>
          </w:p>
        </w:tc>
        <w:tc>
          <w:tcPr>
            <w:tcW w:w="1985" w:type="dxa"/>
            <w:vAlign w:val="center"/>
          </w:tcPr>
          <w:p w14:paraId="02E5ADA8"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w:t>
            </w:r>
          </w:p>
        </w:tc>
      </w:tr>
      <w:tr w:rsidR="007D6EA2" w:rsidRPr="004A20D6" w14:paraId="065A5EC1" w14:textId="77777777" w:rsidTr="007D6EA2">
        <w:tc>
          <w:tcPr>
            <w:tcW w:w="993" w:type="dxa"/>
            <w:vMerge/>
            <w:tcMar>
              <w:top w:w="17" w:type="dxa"/>
              <w:bottom w:w="17" w:type="dxa"/>
              <w:right w:w="28" w:type="dxa"/>
            </w:tcMar>
            <w:vAlign w:val="center"/>
            <w:hideMark/>
          </w:tcPr>
          <w:p w14:paraId="03838722" w14:textId="77777777" w:rsidR="007D6EA2" w:rsidRPr="004A20D6" w:rsidRDefault="007D6EA2" w:rsidP="007D6EA2">
            <w:pPr>
              <w:rPr>
                <w:rFonts w:ascii="Arial Narrow" w:hAnsi="Arial Narrow" w:cs="Calibri"/>
                <w:b/>
                <w:bCs/>
                <w:spacing w:val="-2"/>
                <w:sz w:val="20"/>
                <w:szCs w:val="20"/>
              </w:rPr>
            </w:pPr>
          </w:p>
        </w:tc>
        <w:tc>
          <w:tcPr>
            <w:tcW w:w="3119" w:type="dxa"/>
            <w:vMerge/>
            <w:tcMar>
              <w:top w:w="17" w:type="dxa"/>
              <w:bottom w:w="17" w:type="dxa"/>
              <w:right w:w="28" w:type="dxa"/>
            </w:tcMar>
            <w:vAlign w:val="center"/>
            <w:hideMark/>
          </w:tcPr>
          <w:p w14:paraId="67E3E450" w14:textId="77777777" w:rsidR="007D6EA2" w:rsidRPr="00BE67DE" w:rsidRDefault="007D6EA2" w:rsidP="007D6EA2">
            <w:pPr>
              <w:rPr>
                <w:rFonts w:ascii="Arial Narrow" w:hAnsi="Arial Narrow" w:cs="Calibri"/>
                <w:spacing w:val="-2"/>
                <w:sz w:val="20"/>
                <w:szCs w:val="20"/>
              </w:rPr>
            </w:pPr>
          </w:p>
        </w:tc>
        <w:tc>
          <w:tcPr>
            <w:tcW w:w="850" w:type="dxa"/>
            <w:shd w:val="clear" w:color="auto" w:fill="auto"/>
            <w:tcMar>
              <w:top w:w="17" w:type="dxa"/>
              <w:bottom w:w="17" w:type="dxa"/>
              <w:right w:w="28" w:type="dxa"/>
            </w:tcMar>
            <w:vAlign w:val="center"/>
            <w:hideMark/>
          </w:tcPr>
          <w:p w14:paraId="2CBABD69"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auto"/>
            <w:tcMar>
              <w:top w:w="17" w:type="dxa"/>
              <w:bottom w:w="17" w:type="dxa"/>
              <w:right w:w="28" w:type="dxa"/>
            </w:tcMar>
            <w:vAlign w:val="center"/>
          </w:tcPr>
          <w:p w14:paraId="130131A6"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82 585</w:t>
            </w:r>
          </w:p>
        </w:tc>
        <w:tc>
          <w:tcPr>
            <w:tcW w:w="1134" w:type="dxa"/>
            <w:shd w:val="clear" w:color="auto" w:fill="auto"/>
            <w:tcMar>
              <w:top w:w="17" w:type="dxa"/>
              <w:bottom w:w="17" w:type="dxa"/>
              <w:right w:w="28" w:type="dxa"/>
            </w:tcMar>
            <w:vAlign w:val="center"/>
          </w:tcPr>
          <w:p w14:paraId="2FDA723D"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6A5D6C31"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82 585</w:t>
            </w:r>
          </w:p>
        </w:tc>
        <w:tc>
          <w:tcPr>
            <w:tcW w:w="1985" w:type="dxa"/>
            <w:vAlign w:val="center"/>
          </w:tcPr>
          <w:p w14:paraId="1D0C926F" w14:textId="77777777" w:rsidR="007D6EA2" w:rsidRPr="004A20D6" w:rsidRDefault="007D6EA2" w:rsidP="007D6EA2">
            <w:pPr>
              <w:rPr>
                <w:rFonts w:ascii="Arial Narrow" w:hAnsi="Arial Narrow" w:cs="Calibri"/>
                <w:spacing w:val="-2"/>
                <w:sz w:val="20"/>
                <w:szCs w:val="20"/>
              </w:rPr>
            </w:pPr>
          </w:p>
        </w:tc>
      </w:tr>
      <w:tr w:rsidR="007D6EA2" w:rsidRPr="004A20D6" w14:paraId="0A746A33" w14:textId="77777777" w:rsidTr="007D6EA2">
        <w:tc>
          <w:tcPr>
            <w:tcW w:w="993" w:type="dxa"/>
            <w:vMerge/>
            <w:tcMar>
              <w:top w:w="17" w:type="dxa"/>
              <w:bottom w:w="17" w:type="dxa"/>
              <w:right w:w="28" w:type="dxa"/>
            </w:tcMar>
            <w:vAlign w:val="center"/>
            <w:hideMark/>
          </w:tcPr>
          <w:p w14:paraId="53F1CEF4" w14:textId="77777777" w:rsidR="007D6EA2" w:rsidRPr="004A20D6" w:rsidRDefault="007D6EA2" w:rsidP="007D6EA2">
            <w:pPr>
              <w:rPr>
                <w:rFonts w:ascii="Arial Narrow" w:hAnsi="Arial Narrow" w:cs="Calibri"/>
                <w:b/>
                <w:bCs/>
                <w:spacing w:val="-2"/>
                <w:sz w:val="20"/>
                <w:szCs w:val="20"/>
              </w:rPr>
            </w:pPr>
          </w:p>
        </w:tc>
        <w:tc>
          <w:tcPr>
            <w:tcW w:w="3119" w:type="dxa"/>
            <w:vMerge w:val="restart"/>
            <w:shd w:val="clear" w:color="auto" w:fill="auto"/>
            <w:tcMar>
              <w:top w:w="17" w:type="dxa"/>
              <w:bottom w:w="17" w:type="dxa"/>
              <w:right w:w="28" w:type="dxa"/>
            </w:tcMar>
            <w:vAlign w:val="center"/>
            <w:hideMark/>
          </w:tcPr>
          <w:p w14:paraId="7E9D535C"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5.1.2</w:t>
            </w:r>
            <w:r>
              <w:rPr>
                <w:rFonts w:ascii="Arial Narrow" w:hAnsi="Arial Narrow" w:cs="Calibri"/>
                <w:spacing w:val="-2"/>
                <w:sz w:val="20"/>
                <w:szCs w:val="20"/>
              </w:rPr>
              <w:t>.</w:t>
            </w:r>
            <w:r w:rsidRPr="00BE67DE">
              <w:rPr>
                <w:rFonts w:ascii="Arial Narrow" w:hAnsi="Arial Narrow" w:cs="Calibri"/>
                <w:spacing w:val="-2"/>
                <w:sz w:val="20"/>
                <w:szCs w:val="20"/>
              </w:rPr>
              <w:t xml:space="preserve"> Zlepšenie udržateľných vzťahov </w:t>
            </w:r>
          </w:p>
        </w:tc>
        <w:tc>
          <w:tcPr>
            <w:tcW w:w="850" w:type="dxa"/>
            <w:shd w:val="clear" w:color="auto" w:fill="auto"/>
            <w:tcMar>
              <w:top w:w="17" w:type="dxa"/>
              <w:bottom w:w="17" w:type="dxa"/>
              <w:right w:w="28" w:type="dxa"/>
            </w:tcMar>
            <w:vAlign w:val="center"/>
            <w:hideMark/>
          </w:tcPr>
          <w:p w14:paraId="7493DFC3" w14:textId="77777777" w:rsidR="007D6EA2" w:rsidRPr="004A20D6" w:rsidRDefault="007D6EA2" w:rsidP="007D6EA2">
            <w:pPr>
              <w:jc w:val="center"/>
              <w:rPr>
                <w:rFonts w:ascii="Arial Narrow" w:hAnsi="Arial Narrow" w:cs="Calibri"/>
                <w:spacing w:val="-2"/>
                <w:sz w:val="20"/>
                <w:szCs w:val="20"/>
              </w:rPr>
            </w:pPr>
            <w:r w:rsidRPr="004A20D6">
              <w:rPr>
                <w:rFonts w:ascii="Arial Narrow" w:hAnsi="Arial Narrow" w:cs="Calibri"/>
                <w:spacing w:val="-2"/>
                <w:sz w:val="20"/>
                <w:szCs w:val="20"/>
              </w:rPr>
              <w:t>MRR</w:t>
            </w:r>
          </w:p>
        </w:tc>
        <w:tc>
          <w:tcPr>
            <w:tcW w:w="1276" w:type="dxa"/>
            <w:shd w:val="clear" w:color="auto" w:fill="auto"/>
            <w:tcMar>
              <w:top w:w="17" w:type="dxa"/>
              <w:bottom w:w="17" w:type="dxa"/>
              <w:right w:w="28" w:type="dxa"/>
            </w:tcMar>
            <w:vAlign w:val="center"/>
          </w:tcPr>
          <w:p w14:paraId="67FC390B"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25 136 663</w:t>
            </w:r>
          </w:p>
        </w:tc>
        <w:tc>
          <w:tcPr>
            <w:tcW w:w="1134" w:type="dxa"/>
            <w:shd w:val="clear" w:color="auto" w:fill="auto"/>
            <w:tcMar>
              <w:top w:w="17" w:type="dxa"/>
              <w:bottom w:w="17" w:type="dxa"/>
              <w:right w:w="28" w:type="dxa"/>
            </w:tcMar>
            <w:vAlign w:val="center"/>
          </w:tcPr>
          <w:p w14:paraId="522548EA" w14:textId="77777777" w:rsidR="007D6EA2" w:rsidRPr="004A20D6" w:rsidRDefault="007D6EA2" w:rsidP="007D6EA2">
            <w:pPr>
              <w:ind w:right="28"/>
              <w:jc w:val="right"/>
              <w:rPr>
                <w:rFonts w:ascii="Arial Narrow" w:hAnsi="Arial Narrow" w:cs="Calibri"/>
                <w:spacing w:val="-2"/>
                <w:sz w:val="20"/>
                <w:szCs w:val="20"/>
              </w:rPr>
            </w:pPr>
            <w:r w:rsidRPr="000B6C08">
              <w:rPr>
                <w:rFonts w:ascii="Arial Narrow" w:hAnsi="Arial Narrow" w:cs="Calibri"/>
                <w:spacing w:val="-2"/>
                <w:sz w:val="20"/>
                <w:szCs w:val="20"/>
              </w:rPr>
              <w:t>-5</w:t>
            </w:r>
            <w:r>
              <w:rPr>
                <w:rFonts w:ascii="Arial Narrow" w:hAnsi="Arial Narrow" w:cs="Calibri"/>
                <w:spacing w:val="-2"/>
                <w:sz w:val="20"/>
                <w:szCs w:val="20"/>
              </w:rPr>
              <w:t xml:space="preserve"> </w:t>
            </w:r>
            <w:r w:rsidRPr="000B6C08">
              <w:rPr>
                <w:rFonts w:ascii="Arial Narrow" w:hAnsi="Arial Narrow" w:cs="Calibri"/>
                <w:spacing w:val="-2"/>
                <w:sz w:val="20"/>
                <w:szCs w:val="20"/>
              </w:rPr>
              <w:t>685</w:t>
            </w:r>
            <w:r>
              <w:rPr>
                <w:rFonts w:ascii="Arial Narrow" w:hAnsi="Arial Narrow" w:cs="Calibri"/>
                <w:spacing w:val="-2"/>
                <w:sz w:val="20"/>
                <w:szCs w:val="20"/>
              </w:rPr>
              <w:t xml:space="preserve"> </w:t>
            </w:r>
            <w:r w:rsidRPr="000B6C08">
              <w:rPr>
                <w:rFonts w:ascii="Arial Narrow" w:hAnsi="Arial Narrow" w:cs="Calibri"/>
                <w:spacing w:val="-2"/>
                <w:sz w:val="20"/>
                <w:szCs w:val="20"/>
              </w:rPr>
              <w:t>458</w:t>
            </w:r>
          </w:p>
        </w:tc>
        <w:tc>
          <w:tcPr>
            <w:tcW w:w="1276" w:type="dxa"/>
            <w:shd w:val="clear" w:color="auto" w:fill="auto"/>
            <w:tcMar>
              <w:top w:w="17" w:type="dxa"/>
              <w:bottom w:w="17" w:type="dxa"/>
              <w:right w:w="28" w:type="dxa"/>
            </w:tcMar>
            <w:vAlign w:val="center"/>
          </w:tcPr>
          <w:p w14:paraId="7B6B24C0"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19 451 205</w:t>
            </w:r>
          </w:p>
        </w:tc>
        <w:tc>
          <w:tcPr>
            <w:tcW w:w="1985" w:type="dxa"/>
            <w:vAlign w:val="center"/>
          </w:tcPr>
          <w:p w14:paraId="586DE198"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w:t>
            </w:r>
          </w:p>
        </w:tc>
      </w:tr>
      <w:tr w:rsidR="007D6EA2" w:rsidRPr="004A20D6" w14:paraId="1F96FF42" w14:textId="77777777" w:rsidTr="007D6EA2">
        <w:tc>
          <w:tcPr>
            <w:tcW w:w="993" w:type="dxa"/>
            <w:vMerge/>
            <w:tcMar>
              <w:top w:w="17" w:type="dxa"/>
              <w:bottom w:w="17" w:type="dxa"/>
              <w:right w:w="28" w:type="dxa"/>
            </w:tcMar>
            <w:vAlign w:val="center"/>
            <w:hideMark/>
          </w:tcPr>
          <w:p w14:paraId="2F1AE22C" w14:textId="77777777" w:rsidR="007D6EA2" w:rsidRPr="004A20D6" w:rsidRDefault="007D6EA2" w:rsidP="007D6EA2">
            <w:pPr>
              <w:rPr>
                <w:rFonts w:ascii="Arial Narrow" w:hAnsi="Arial Narrow" w:cs="Calibri"/>
                <w:b/>
                <w:bCs/>
                <w:spacing w:val="-2"/>
                <w:sz w:val="20"/>
                <w:szCs w:val="20"/>
              </w:rPr>
            </w:pPr>
          </w:p>
        </w:tc>
        <w:tc>
          <w:tcPr>
            <w:tcW w:w="3119" w:type="dxa"/>
            <w:vMerge/>
            <w:tcMar>
              <w:top w:w="17" w:type="dxa"/>
              <w:bottom w:w="17" w:type="dxa"/>
              <w:right w:w="28" w:type="dxa"/>
            </w:tcMar>
            <w:vAlign w:val="center"/>
            <w:hideMark/>
          </w:tcPr>
          <w:p w14:paraId="35637BF1" w14:textId="77777777" w:rsidR="007D6EA2" w:rsidRPr="00BE67DE" w:rsidRDefault="007D6EA2" w:rsidP="007D6EA2">
            <w:pPr>
              <w:rPr>
                <w:rFonts w:ascii="Arial Narrow" w:hAnsi="Arial Narrow" w:cs="Calibri"/>
                <w:spacing w:val="-2"/>
                <w:sz w:val="20"/>
                <w:szCs w:val="20"/>
              </w:rPr>
            </w:pPr>
          </w:p>
        </w:tc>
        <w:tc>
          <w:tcPr>
            <w:tcW w:w="850" w:type="dxa"/>
            <w:shd w:val="clear" w:color="auto" w:fill="auto"/>
            <w:tcMar>
              <w:top w:w="17" w:type="dxa"/>
              <w:bottom w:w="17" w:type="dxa"/>
              <w:right w:w="28" w:type="dxa"/>
            </w:tcMar>
            <w:vAlign w:val="center"/>
            <w:hideMark/>
          </w:tcPr>
          <w:p w14:paraId="44968ABE" w14:textId="77777777" w:rsidR="007D6EA2" w:rsidRPr="004A20D6" w:rsidRDefault="007D6EA2" w:rsidP="007D6EA2">
            <w:pPr>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shd w:val="clear" w:color="auto" w:fill="auto"/>
            <w:tcMar>
              <w:top w:w="17" w:type="dxa"/>
              <w:bottom w:w="17" w:type="dxa"/>
              <w:right w:w="28" w:type="dxa"/>
            </w:tcMar>
            <w:vAlign w:val="center"/>
          </w:tcPr>
          <w:p w14:paraId="5E556BB8"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390 730</w:t>
            </w:r>
          </w:p>
        </w:tc>
        <w:tc>
          <w:tcPr>
            <w:tcW w:w="1134" w:type="dxa"/>
            <w:shd w:val="clear" w:color="auto" w:fill="auto"/>
            <w:tcMar>
              <w:top w:w="17" w:type="dxa"/>
              <w:bottom w:w="17" w:type="dxa"/>
              <w:right w:w="28" w:type="dxa"/>
            </w:tcMar>
            <w:vAlign w:val="center"/>
          </w:tcPr>
          <w:p w14:paraId="0E1263BD"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728900BB"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390 730</w:t>
            </w:r>
          </w:p>
        </w:tc>
        <w:tc>
          <w:tcPr>
            <w:tcW w:w="1985" w:type="dxa"/>
            <w:vAlign w:val="center"/>
          </w:tcPr>
          <w:p w14:paraId="0CEDF32F" w14:textId="77777777" w:rsidR="007D6EA2" w:rsidRPr="004A20D6" w:rsidRDefault="007D6EA2" w:rsidP="007D6EA2">
            <w:pPr>
              <w:rPr>
                <w:rFonts w:ascii="Arial Narrow" w:hAnsi="Arial Narrow" w:cs="Calibri"/>
                <w:spacing w:val="-2"/>
                <w:sz w:val="20"/>
                <w:szCs w:val="20"/>
              </w:rPr>
            </w:pPr>
          </w:p>
        </w:tc>
      </w:tr>
      <w:tr w:rsidR="007D6EA2" w:rsidRPr="004A20D6" w14:paraId="03A415FE" w14:textId="77777777" w:rsidTr="007D6EA2">
        <w:tc>
          <w:tcPr>
            <w:tcW w:w="993" w:type="dxa"/>
            <w:vMerge/>
            <w:tcMar>
              <w:top w:w="17" w:type="dxa"/>
              <w:bottom w:w="17" w:type="dxa"/>
              <w:right w:w="28" w:type="dxa"/>
            </w:tcMar>
            <w:vAlign w:val="center"/>
            <w:hideMark/>
          </w:tcPr>
          <w:p w14:paraId="7ECB4EC1" w14:textId="77777777" w:rsidR="007D6EA2" w:rsidRPr="004A20D6" w:rsidRDefault="007D6EA2" w:rsidP="007D6EA2">
            <w:pPr>
              <w:rPr>
                <w:rFonts w:ascii="Arial Narrow" w:hAnsi="Arial Narrow" w:cs="Calibri"/>
                <w:b/>
                <w:bCs/>
                <w:spacing w:val="-2"/>
                <w:sz w:val="20"/>
                <w:szCs w:val="20"/>
              </w:rPr>
            </w:pPr>
          </w:p>
        </w:tc>
        <w:tc>
          <w:tcPr>
            <w:tcW w:w="3119" w:type="dxa"/>
            <w:shd w:val="clear" w:color="auto" w:fill="DBE5F1" w:themeFill="accent1" w:themeFillTint="33"/>
            <w:tcMar>
              <w:top w:w="17" w:type="dxa"/>
              <w:bottom w:w="17" w:type="dxa"/>
              <w:right w:w="28" w:type="dxa"/>
            </w:tcMar>
            <w:vAlign w:val="center"/>
            <w:hideMark/>
          </w:tcPr>
          <w:p w14:paraId="589942C4"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auto" w:fill="DBE5F1" w:themeFill="accent1" w:themeFillTint="33"/>
            <w:tcMar>
              <w:top w:w="17" w:type="dxa"/>
              <w:bottom w:w="17" w:type="dxa"/>
              <w:right w:w="28" w:type="dxa"/>
            </w:tcMar>
            <w:vAlign w:val="center"/>
            <w:hideMark/>
          </w:tcPr>
          <w:p w14:paraId="0AA32E66"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MRR</w:t>
            </w:r>
          </w:p>
        </w:tc>
        <w:tc>
          <w:tcPr>
            <w:tcW w:w="1276" w:type="dxa"/>
            <w:shd w:val="clear" w:color="auto" w:fill="DBE5F1" w:themeFill="accent1" w:themeFillTint="33"/>
            <w:tcMar>
              <w:top w:w="17" w:type="dxa"/>
              <w:bottom w:w="17" w:type="dxa"/>
              <w:right w:w="28" w:type="dxa"/>
            </w:tcMar>
            <w:vAlign w:val="center"/>
          </w:tcPr>
          <w:p w14:paraId="3137C6B0"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70 879 970</w:t>
            </w:r>
          </w:p>
        </w:tc>
        <w:tc>
          <w:tcPr>
            <w:tcW w:w="1134" w:type="dxa"/>
            <w:shd w:val="clear" w:color="auto" w:fill="DBE5F1" w:themeFill="accent1" w:themeFillTint="33"/>
            <w:tcMar>
              <w:top w:w="17" w:type="dxa"/>
              <w:bottom w:w="17" w:type="dxa"/>
              <w:right w:w="28" w:type="dxa"/>
            </w:tcMar>
            <w:vAlign w:val="center"/>
          </w:tcPr>
          <w:p w14:paraId="43CE1A4A"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-16 031 765</w:t>
            </w:r>
          </w:p>
        </w:tc>
        <w:tc>
          <w:tcPr>
            <w:tcW w:w="1276" w:type="dxa"/>
            <w:shd w:val="clear" w:color="auto" w:fill="DBE5F1" w:themeFill="accent1" w:themeFillTint="33"/>
            <w:tcMar>
              <w:top w:w="17" w:type="dxa"/>
              <w:bottom w:w="17" w:type="dxa"/>
              <w:right w:w="28" w:type="dxa"/>
            </w:tcMar>
            <w:vAlign w:val="center"/>
          </w:tcPr>
          <w:p w14:paraId="54D3663E"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54 848 205</w:t>
            </w:r>
          </w:p>
        </w:tc>
        <w:tc>
          <w:tcPr>
            <w:tcW w:w="1985" w:type="dxa"/>
            <w:shd w:val="clear" w:color="auto" w:fill="DBE5F1" w:themeFill="accent1" w:themeFillTint="33"/>
            <w:vAlign w:val="center"/>
          </w:tcPr>
          <w:p w14:paraId="4D063ECD" w14:textId="77777777" w:rsidR="007D6EA2" w:rsidRPr="004A20D6" w:rsidRDefault="007D6EA2" w:rsidP="007D6EA2">
            <w:pPr>
              <w:rPr>
                <w:rFonts w:ascii="Arial Narrow" w:hAnsi="Arial Narrow" w:cs="Calibri"/>
                <w:spacing w:val="-2"/>
                <w:sz w:val="20"/>
                <w:szCs w:val="20"/>
              </w:rPr>
            </w:pPr>
          </w:p>
        </w:tc>
      </w:tr>
      <w:tr w:rsidR="007D6EA2" w:rsidRPr="004A20D6" w14:paraId="5D51BB01" w14:textId="77777777" w:rsidTr="007D6EA2">
        <w:tc>
          <w:tcPr>
            <w:tcW w:w="993" w:type="dxa"/>
            <w:vMerge/>
            <w:tcMar>
              <w:top w:w="17" w:type="dxa"/>
              <w:bottom w:w="17" w:type="dxa"/>
              <w:right w:w="28" w:type="dxa"/>
            </w:tcMar>
            <w:vAlign w:val="center"/>
            <w:hideMark/>
          </w:tcPr>
          <w:p w14:paraId="48EC6ABE" w14:textId="77777777" w:rsidR="007D6EA2" w:rsidRPr="004A20D6" w:rsidRDefault="007D6EA2" w:rsidP="007D6EA2">
            <w:pPr>
              <w:rPr>
                <w:rFonts w:ascii="Arial Narrow" w:hAnsi="Arial Narrow" w:cs="Calibri"/>
                <w:b/>
                <w:bCs/>
                <w:spacing w:val="-2"/>
                <w:sz w:val="20"/>
                <w:szCs w:val="20"/>
              </w:rPr>
            </w:pPr>
          </w:p>
        </w:tc>
        <w:tc>
          <w:tcPr>
            <w:tcW w:w="3119" w:type="dxa"/>
            <w:shd w:val="clear" w:color="auto" w:fill="DBE5F1" w:themeFill="accent1" w:themeFillTint="33"/>
            <w:tcMar>
              <w:top w:w="17" w:type="dxa"/>
              <w:bottom w:w="17" w:type="dxa"/>
              <w:right w:w="28" w:type="dxa"/>
            </w:tcMar>
            <w:vAlign w:val="center"/>
            <w:hideMark/>
          </w:tcPr>
          <w:p w14:paraId="30C7E114"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auto" w:fill="DBE5F1" w:themeFill="accent1" w:themeFillTint="33"/>
            <w:tcMar>
              <w:top w:w="17" w:type="dxa"/>
              <w:bottom w:w="17" w:type="dxa"/>
              <w:right w:w="28" w:type="dxa"/>
            </w:tcMar>
            <w:vAlign w:val="center"/>
            <w:hideMark/>
          </w:tcPr>
          <w:p w14:paraId="7F127EE0"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VRR</w:t>
            </w:r>
          </w:p>
        </w:tc>
        <w:tc>
          <w:tcPr>
            <w:tcW w:w="1276" w:type="dxa"/>
            <w:shd w:val="clear" w:color="auto" w:fill="DBE5F1" w:themeFill="accent1" w:themeFillTint="33"/>
            <w:tcMar>
              <w:top w:w="17" w:type="dxa"/>
              <w:bottom w:w="17" w:type="dxa"/>
              <w:right w:w="28" w:type="dxa"/>
            </w:tcMar>
            <w:vAlign w:val="center"/>
          </w:tcPr>
          <w:p w14:paraId="039A4393"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473 315</w:t>
            </w:r>
          </w:p>
        </w:tc>
        <w:tc>
          <w:tcPr>
            <w:tcW w:w="1134" w:type="dxa"/>
            <w:shd w:val="clear" w:color="auto" w:fill="DBE5F1" w:themeFill="accent1" w:themeFillTint="33"/>
            <w:tcMar>
              <w:top w:w="17" w:type="dxa"/>
              <w:bottom w:w="17" w:type="dxa"/>
              <w:right w:w="28" w:type="dxa"/>
            </w:tcMar>
            <w:vAlign w:val="center"/>
          </w:tcPr>
          <w:p w14:paraId="501F1CF8"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DBE5F1" w:themeFill="accent1" w:themeFillTint="33"/>
            <w:tcMar>
              <w:top w:w="17" w:type="dxa"/>
              <w:bottom w:w="17" w:type="dxa"/>
              <w:right w:w="28" w:type="dxa"/>
            </w:tcMar>
            <w:vAlign w:val="center"/>
          </w:tcPr>
          <w:p w14:paraId="54A72345"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473 315</w:t>
            </w:r>
          </w:p>
        </w:tc>
        <w:tc>
          <w:tcPr>
            <w:tcW w:w="1985" w:type="dxa"/>
            <w:shd w:val="clear" w:color="auto" w:fill="DBE5F1" w:themeFill="accent1" w:themeFillTint="33"/>
            <w:vAlign w:val="center"/>
          </w:tcPr>
          <w:p w14:paraId="2B00EB5B" w14:textId="77777777" w:rsidR="007D6EA2" w:rsidRPr="004A20D6" w:rsidRDefault="007D6EA2" w:rsidP="007D6EA2">
            <w:pPr>
              <w:rPr>
                <w:rFonts w:ascii="Arial Narrow" w:hAnsi="Arial Narrow" w:cs="Calibri"/>
                <w:spacing w:val="-2"/>
                <w:sz w:val="20"/>
                <w:szCs w:val="20"/>
              </w:rPr>
            </w:pPr>
          </w:p>
        </w:tc>
      </w:tr>
      <w:tr w:rsidR="007D6EA2" w:rsidRPr="004A20D6" w14:paraId="3FA53666" w14:textId="77777777" w:rsidTr="007D6EA2">
        <w:tc>
          <w:tcPr>
            <w:tcW w:w="993" w:type="dxa"/>
            <w:vMerge/>
            <w:tcMar>
              <w:top w:w="17" w:type="dxa"/>
              <w:bottom w:w="17" w:type="dxa"/>
              <w:right w:w="28" w:type="dxa"/>
            </w:tcMar>
            <w:vAlign w:val="center"/>
            <w:hideMark/>
          </w:tcPr>
          <w:p w14:paraId="237FF101" w14:textId="77777777" w:rsidR="007D6EA2" w:rsidRPr="004A20D6" w:rsidRDefault="007D6EA2" w:rsidP="007D6EA2">
            <w:pPr>
              <w:rPr>
                <w:rFonts w:ascii="Arial Narrow" w:hAnsi="Arial Narrow" w:cs="Calibri"/>
                <w:b/>
                <w:bCs/>
                <w:spacing w:val="-2"/>
                <w:sz w:val="20"/>
                <w:szCs w:val="20"/>
              </w:rPr>
            </w:pPr>
          </w:p>
        </w:tc>
        <w:tc>
          <w:tcPr>
            <w:tcW w:w="3119" w:type="dxa"/>
            <w:shd w:val="clear" w:color="auto" w:fill="95B3D7" w:themeFill="accent1" w:themeFillTint="99"/>
            <w:tcMar>
              <w:top w:w="17" w:type="dxa"/>
              <w:bottom w:w="17" w:type="dxa"/>
              <w:right w:w="28" w:type="dxa"/>
            </w:tcMar>
            <w:vAlign w:val="center"/>
            <w:hideMark/>
          </w:tcPr>
          <w:p w14:paraId="7E4D6C75"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5B3D7" w:themeFill="accent1" w:themeFillTint="99"/>
            <w:tcMar>
              <w:top w:w="17" w:type="dxa"/>
              <w:bottom w:w="17" w:type="dxa"/>
              <w:right w:w="28" w:type="dxa"/>
            </w:tcMar>
            <w:vAlign w:val="center"/>
            <w:hideMark/>
          </w:tcPr>
          <w:p w14:paraId="7B46AE13"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shd w:val="clear" w:color="auto" w:fill="95B3D7" w:themeFill="accent1" w:themeFillTint="99"/>
            <w:tcMar>
              <w:top w:w="17" w:type="dxa"/>
              <w:bottom w:w="17" w:type="dxa"/>
              <w:right w:w="28" w:type="dxa"/>
            </w:tcMar>
            <w:vAlign w:val="center"/>
          </w:tcPr>
          <w:p w14:paraId="61910C8E"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71 353 285</w:t>
            </w:r>
          </w:p>
        </w:tc>
        <w:tc>
          <w:tcPr>
            <w:tcW w:w="1134" w:type="dxa"/>
            <w:shd w:val="clear" w:color="auto" w:fill="95B3D7" w:themeFill="accent1" w:themeFillTint="99"/>
            <w:tcMar>
              <w:top w:w="17" w:type="dxa"/>
              <w:bottom w:w="17" w:type="dxa"/>
              <w:right w:w="28" w:type="dxa"/>
            </w:tcMar>
            <w:vAlign w:val="center"/>
          </w:tcPr>
          <w:p w14:paraId="149B94F5"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-16 031 765</w:t>
            </w:r>
          </w:p>
        </w:tc>
        <w:tc>
          <w:tcPr>
            <w:tcW w:w="1276" w:type="dxa"/>
            <w:shd w:val="clear" w:color="auto" w:fill="95B3D7" w:themeFill="accent1" w:themeFillTint="99"/>
            <w:tcMar>
              <w:top w:w="17" w:type="dxa"/>
              <w:bottom w:w="17" w:type="dxa"/>
              <w:right w:w="28" w:type="dxa"/>
            </w:tcMar>
            <w:vAlign w:val="center"/>
          </w:tcPr>
          <w:p w14:paraId="2FAE27AA"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55 321 520</w:t>
            </w:r>
          </w:p>
        </w:tc>
        <w:tc>
          <w:tcPr>
            <w:tcW w:w="1985" w:type="dxa"/>
            <w:shd w:val="clear" w:color="auto" w:fill="95B3D7" w:themeFill="accent1" w:themeFillTint="99"/>
            <w:vAlign w:val="center"/>
          </w:tcPr>
          <w:p w14:paraId="47346220" w14:textId="77777777" w:rsidR="007D6EA2" w:rsidRPr="004A20D6" w:rsidRDefault="007D6EA2" w:rsidP="007D6EA2">
            <w:pPr>
              <w:rPr>
                <w:rFonts w:ascii="Arial Narrow" w:hAnsi="Arial Narrow" w:cs="Calibri"/>
                <w:spacing w:val="-2"/>
                <w:sz w:val="20"/>
                <w:szCs w:val="20"/>
              </w:rPr>
            </w:pPr>
          </w:p>
        </w:tc>
      </w:tr>
      <w:tr w:rsidR="007D6EA2" w:rsidRPr="004A20D6" w14:paraId="337A8282" w14:textId="77777777" w:rsidTr="007D6EA2">
        <w:tc>
          <w:tcPr>
            <w:tcW w:w="993" w:type="dxa"/>
            <w:vMerge w:val="restart"/>
            <w:shd w:val="clear" w:color="auto" w:fill="FFFFFF" w:themeFill="background1"/>
            <w:tcMar>
              <w:top w:w="17" w:type="dxa"/>
              <w:bottom w:w="17" w:type="dxa"/>
              <w:right w:w="28" w:type="dxa"/>
            </w:tcMar>
            <w:vAlign w:val="center"/>
            <w:hideMark/>
          </w:tcPr>
          <w:p w14:paraId="4024B98D"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6. </w:t>
            </w:r>
          </w:p>
          <w:p w14:paraId="5BEF2F89"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Technická pomoc </w:t>
            </w:r>
          </w:p>
        </w:tc>
        <w:tc>
          <w:tcPr>
            <w:tcW w:w="3119" w:type="dxa"/>
            <w:vMerge w:val="restart"/>
            <w:shd w:val="clear" w:color="auto" w:fill="FFFFFF" w:themeFill="background1"/>
            <w:tcMar>
              <w:top w:w="17" w:type="dxa"/>
              <w:bottom w:w="17" w:type="dxa"/>
              <w:right w:w="28" w:type="dxa"/>
            </w:tcMar>
            <w:vAlign w:val="center"/>
            <w:hideMark/>
          </w:tcPr>
          <w:p w14:paraId="01FF8865"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 xml:space="preserve">6.1. Podpora efektívnej implementácie </w:t>
            </w:r>
          </w:p>
        </w:tc>
        <w:tc>
          <w:tcPr>
            <w:tcW w:w="850" w:type="dxa"/>
            <w:shd w:val="clear" w:color="auto" w:fill="FFFFFF" w:themeFill="background1"/>
            <w:tcMar>
              <w:top w:w="17" w:type="dxa"/>
              <w:bottom w:w="17" w:type="dxa"/>
              <w:right w:w="28" w:type="dxa"/>
            </w:tcMar>
            <w:vAlign w:val="center"/>
            <w:hideMark/>
          </w:tcPr>
          <w:p w14:paraId="43203434" w14:textId="77777777" w:rsidR="007D6EA2" w:rsidRPr="004A20D6" w:rsidRDefault="007D6EA2" w:rsidP="007D6EA2">
            <w:pPr>
              <w:jc w:val="center"/>
              <w:rPr>
                <w:rFonts w:ascii="Arial Narrow" w:hAnsi="Arial Narrow" w:cs="Calibri"/>
                <w:spacing w:val="-2"/>
                <w:sz w:val="20"/>
                <w:szCs w:val="20"/>
              </w:rPr>
            </w:pPr>
            <w:r w:rsidRPr="004A20D6">
              <w:rPr>
                <w:rFonts w:ascii="Arial Narrow" w:hAnsi="Arial Narrow" w:cs="Calibri"/>
                <w:spacing w:val="-2"/>
                <w:sz w:val="20"/>
                <w:szCs w:val="20"/>
              </w:rPr>
              <w:t>MRR</w:t>
            </w:r>
          </w:p>
        </w:tc>
        <w:tc>
          <w:tcPr>
            <w:tcW w:w="1276" w:type="dxa"/>
            <w:shd w:val="clear" w:color="auto" w:fill="FFFFFF" w:themeFill="background1"/>
            <w:tcMar>
              <w:top w:w="17" w:type="dxa"/>
              <w:bottom w:w="17" w:type="dxa"/>
              <w:right w:w="28" w:type="dxa"/>
            </w:tcMar>
            <w:vAlign w:val="center"/>
          </w:tcPr>
          <w:p w14:paraId="457F7A7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54 019 725</w:t>
            </w:r>
          </w:p>
        </w:tc>
        <w:tc>
          <w:tcPr>
            <w:tcW w:w="1134" w:type="dxa"/>
            <w:shd w:val="clear" w:color="auto" w:fill="FFFFFF" w:themeFill="background1"/>
            <w:tcMar>
              <w:top w:w="17" w:type="dxa"/>
              <w:bottom w:w="17" w:type="dxa"/>
              <w:right w:w="28" w:type="dxa"/>
            </w:tcMar>
            <w:vAlign w:val="center"/>
          </w:tcPr>
          <w:p w14:paraId="468B2F2E"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auto" w:fill="FFFFFF" w:themeFill="background1"/>
            <w:tcMar>
              <w:top w:w="17" w:type="dxa"/>
              <w:bottom w:w="17" w:type="dxa"/>
              <w:right w:w="28" w:type="dxa"/>
            </w:tcMar>
            <w:vAlign w:val="center"/>
          </w:tcPr>
          <w:p w14:paraId="649DD7C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54 019 725</w:t>
            </w:r>
          </w:p>
        </w:tc>
        <w:tc>
          <w:tcPr>
            <w:tcW w:w="1985" w:type="dxa"/>
            <w:shd w:val="clear" w:color="auto" w:fill="FFFFFF" w:themeFill="background1"/>
            <w:vAlign w:val="center"/>
          </w:tcPr>
          <w:p w14:paraId="166B752A" w14:textId="77777777" w:rsidR="007D6EA2" w:rsidRPr="004A20D6" w:rsidRDefault="007D6EA2" w:rsidP="007D6EA2">
            <w:pPr>
              <w:rPr>
                <w:rFonts w:ascii="Arial Narrow" w:hAnsi="Arial Narrow" w:cs="Calibri"/>
                <w:spacing w:val="-2"/>
                <w:sz w:val="20"/>
                <w:szCs w:val="20"/>
              </w:rPr>
            </w:pPr>
          </w:p>
        </w:tc>
      </w:tr>
      <w:tr w:rsidR="007D6EA2" w:rsidRPr="004A20D6" w14:paraId="6C7175FD" w14:textId="77777777" w:rsidTr="007D6EA2">
        <w:tc>
          <w:tcPr>
            <w:tcW w:w="993" w:type="dxa"/>
            <w:vMerge/>
            <w:shd w:val="clear" w:color="auto" w:fill="FFFFFF" w:themeFill="background1"/>
            <w:tcMar>
              <w:top w:w="17" w:type="dxa"/>
              <w:bottom w:w="17" w:type="dxa"/>
              <w:right w:w="28" w:type="dxa"/>
            </w:tcMar>
            <w:vAlign w:val="center"/>
            <w:hideMark/>
          </w:tcPr>
          <w:p w14:paraId="7DED7C2E"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1AC1F171" w14:textId="77777777" w:rsidR="007D6EA2" w:rsidRPr="00BE67DE" w:rsidRDefault="007D6EA2" w:rsidP="007D6EA2">
            <w:pPr>
              <w:rPr>
                <w:rFonts w:ascii="Arial Narrow" w:hAnsi="Arial Narrow" w:cs="Calibri"/>
                <w:spacing w:val="-2"/>
                <w:sz w:val="20"/>
                <w:szCs w:val="20"/>
              </w:rPr>
            </w:pPr>
          </w:p>
        </w:tc>
        <w:tc>
          <w:tcPr>
            <w:tcW w:w="850" w:type="dxa"/>
            <w:shd w:val="clear" w:color="auto" w:fill="FFFFFF" w:themeFill="background1"/>
            <w:tcMar>
              <w:top w:w="17" w:type="dxa"/>
              <w:bottom w:w="17" w:type="dxa"/>
              <w:right w:w="28" w:type="dxa"/>
            </w:tcMar>
            <w:vAlign w:val="center"/>
            <w:hideMark/>
          </w:tcPr>
          <w:p w14:paraId="1D5831ED" w14:textId="77777777" w:rsidR="007D6EA2" w:rsidRPr="004A20D6" w:rsidRDefault="007D6EA2" w:rsidP="007D6EA2">
            <w:pPr>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shd w:val="clear" w:color="auto" w:fill="FFFFFF" w:themeFill="background1"/>
            <w:tcMar>
              <w:top w:w="17" w:type="dxa"/>
              <w:bottom w:w="17" w:type="dxa"/>
              <w:right w:w="28" w:type="dxa"/>
            </w:tcMar>
            <w:vAlign w:val="center"/>
          </w:tcPr>
          <w:p w14:paraId="5B801B93"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1 930 275</w:t>
            </w:r>
          </w:p>
        </w:tc>
        <w:tc>
          <w:tcPr>
            <w:tcW w:w="1134" w:type="dxa"/>
            <w:shd w:val="clear" w:color="auto" w:fill="FFFFFF" w:themeFill="background1"/>
            <w:tcMar>
              <w:top w:w="17" w:type="dxa"/>
              <w:bottom w:w="17" w:type="dxa"/>
              <w:right w:w="28" w:type="dxa"/>
            </w:tcMar>
            <w:vAlign w:val="center"/>
          </w:tcPr>
          <w:p w14:paraId="5CAEC55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auto" w:fill="FFFFFF" w:themeFill="background1"/>
            <w:tcMar>
              <w:top w:w="17" w:type="dxa"/>
              <w:bottom w:w="17" w:type="dxa"/>
              <w:right w:w="28" w:type="dxa"/>
            </w:tcMar>
            <w:vAlign w:val="center"/>
          </w:tcPr>
          <w:p w14:paraId="37D6A7BA"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1 930 275</w:t>
            </w:r>
          </w:p>
        </w:tc>
        <w:tc>
          <w:tcPr>
            <w:tcW w:w="1985" w:type="dxa"/>
            <w:shd w:val="clear" w:color="auto" w:fill="FFFFFF" w:themeFill="background1"/>
            <w:vAlign w:val="center"/>
          </w:tcPr>
          <w:p w14:paraId="40ED58B9" w14:textId="77777777" w:rsidR="007D6EA2" w:rsidRPr="004A20D6" w:rsidRDefault="007D6EA2" w:rsidP="007D6EA2">
            <w:pPr>
              <w:rPr>
                <w:rFonts w:ascii="Arial Narrow" w:hAnsi="Arial Narrow" w:cs="Calibri"/>
                <w:spacing w:val="-2"/>
                <w:sz w:val="20"/>
                <w:szCs w:val="20"/>
              </w:rPr>
            </w:pPr>
          </w:p>
        </w:tc>
      </w:tr>
      <w:tr w:rsidR="007D6EA2" w:rsidRPr="004A20D6" w14:paraId="770DD9EF" w14:textId="77777777" w:rsidTr="007D6EA2">
        <w:tc>
          <w:tcPr>
            <w:tcW w:w="993" w:type="dxa"/>
            <w:vMerge/>
            <w:shd w:val="clear" w:color="auto" w:fill="FFFFFF" w:themeFill="background1"/>
            <w:tcMar>
              <w:top w:w="17" w:type="dxa"/>
              <w:bottom w:w="17" w:type="dxa"/>
              <w:right w:w="28" w:type="dxa"/>
            </w:tcMar>
            <w:vAlign w:val="center"/>
            <w:hideMark/>
          </w:tcPr>
          <w:p w14:paraId="57C8615F" w14:textId="77777777" w:rsidR="007D6EA2" w:rsidRPr="004A20D6" w:rsidRDefault="007D6EA2" w:rsidP="007D6EA2">
            <w:pPr>
              <w:rPr>
                <w:rFonts w:ascii="Arial Narrow" w:hAnsi="Arial Narrow" w:cs="Calibri"/>
                <w:b/>
                <w:bCs/>
                <w:color w:val="000000"/>
                <w:spacing w:val="-2"/>
                <w:sz w:val="20"/>
                <w:szCs w:val="20"/>
              </w:rPr>
            </w:pPr>
          </w:p>
        </w:tc>
        <w:tc>
          <w:tcPr>
            <w:tcW w:w="3119" w:type="dxa"/>
            <w:vMerge w:val="restart"/>
            <w:shd w:val="clear" w:color="auto" w:fill="FFFFFF" w:themeFill="background1"/>
            <w:tcMar>
              <w:top w:w="17" w:type="dxa"/>
              <w:bottom w:w="17" w:type="dxa"/>
              <w:right w:w="28" w:type="dxa"/>
            </w:tcMar>
            <w:vAlign w:val="center"/>
            <w:hideMark/>
          </w:tcPr>
          <w:p w14:paraId="3D4C5A18"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 xml:space="preserve">6.2. Publicita, informovanie a podpora prijímateľov </w:t>
            </w:r>
          </w:p>
        </w:tc>
        <w:tc>
          <w:tcPr>
            <w:tcW w:w="850" w:type="dxa"/>
            <w:shd w:val="clear" w:color="auto" w:fill="FFFFFF" w:themeFill="background1"/>
            <w:tcMar>
              <w:top w:w="17" w:type="dxa"/>
              <w:bottom w:w="17" w:type="dxa"/>
              <w:right w:w="28" w:type="dxa"/>
            </w:tcMar>
            <w:vAlign w:val="center"/>
            <w:hideMark/>
          </w:tcPr>
          <w:p w14:paraId="352929BB" w14:textId="77777777" w:rsidR="007D6EA2" w:rsidRPr="004A20D6" w:rsidRDefault="007D6EA2" w:rsidP="007D6EA2">
            <w:pPr>
              <w:jc w:val="center"/>
              <w:rPr>
                <w:rFonts w:ascii="Arial Narrow" w:hAnsi="Arial Narrow" w:cs="Calibri"/>
                <w:spacing w:val="-2"/>
                <w:sz w:val="20"/>
                <w:szCs w:val="20"/>
              </w:rPr>
            </w:pPr>
            <w:r w:rsidRPr="004A20D6">
              <w:rPr>
                <w:rFonts w:ascii="Arial Narrow" w:hAnsi="Arial Narrow" w:cs="Calibri"/>
                <w:spacing w:val="-2"/>
                <w:sz w:val="20"/>
                <w:szCs w:val="20"/>
              </w:rPr>
              <w:t>MRR</w:t>
            </w:r>
          </w:p>
        </w:tc>
        <w:tc>
          <w:tcPr>
            <w:tcW w:w="1276" w:type="dxa"/>
            <w:shd w:val="clear" w:color="auto" w:fill="FFFFFF" w:themeFill="background1"/>
            <w:tcMar>
              <w:top w:w="17" w:type="dxa"/>
              <w:bottom w:w="17" w:type="dxa"/>
              <w:right w:w="28" w:type="dxa"/>
            </w:tcMar>
            <w:vAlign w:val="center"/>
          </w:tcPr>
          <w:p w14:paraId="0732AAB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5 841 275</w:t>
            </w:r>
          </w:p>
        </w:tc>
        <w:tc>
          <w:tcPr>
            <w:tcW w:w="1134" w:type="dxa"/>
            <w:shd w:val="clear" w:color="auto" w:fill="FFFFFF" w:themeFill="background1"/>
            <w:tcMar>
              <w:top w:w="17" w:type="dxa"/>
              <w:bottom w:w="17" w:type="dxa"/>
              <w:right w:w="28" w:type="dxa"/>
            </w:tcMar>
            <w:vAlign w:val="center"/>
          </w:tcPr>
          <w:p w14:paraId="3DCB5E9B"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auto" w:fill="FFFFFF" w:themeFill="background1"/>
            <w:tcMar>
              <w:top w:w="17" w:type="dxa"/>
              <w:bottom w:w="17" w:type="dxa"/>
              <w:right w:w="28" w:type="dxa"/>
            </w:tcMar>
            <w:vAlign w:val="center"/>
          </w:tcPr>
          <w:p w14:paraId="3DF94862"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5 841 275</w:t>
            </w:r>
          </w:p>
        </w:tc>
        <w:tc>
          <w:tcPr>
            <w:tcW w:w="1985" w:type="dxa"/>
            <w:shd w:val="clear" w:color="auto" w:fill="FFFFFF" w:themeFill="background1"/>
            <w:vAlign w:val="center"/>
          </w:tcPr>
          <w:p w14:paraId="1F5ABCE8" w14:textId="77777777" w:rsidR="007D6EA2" w:rsidRPr="004A20D6" w:rsidRDefault="007D6EA2" w:rsidP="007D6EA2">
            <w:pPr>
              <w:rPr>
                <w:rFonts w:ascii="Arial Narrow" w:hAnsi="Arial Narrow" w:cs="Calibri"/>
                <w:spacing w:val="-2"/>
                <w:sz w:val="20"/>
                <w:szCs w:val="20"/>
              </w:rPr>
            </w:pPr>
          </w:p>
        </w:tc>
      </w:tr>
      <w:tr w:rsidR="007D6EA2" w:rsidRPr="004A20D6" w14:paraId="18E3C5E7" w14:textId="77777777" w:rsidTr="007D6EA2">
        <w:tc>
          <w:tcPr>
            <w:tcW w:w="993" w:type="dxa"/>
            <w:vMerge/>
            <w:shd w:val="clear" w:color="auto" w:fill="FFFFFF" w:themeFill="background1"/>
            <w:tcMar>
              <w:top w:w="17" w:type="dxa"/>
              <w:bottom w:w="17" w:type="dxa"/>
              <w:right w:w="28" w:type="dxa"/>
            </w:tcMar>
            <w:vAlign w:val="center"/>
            <w:hideMark/>
          </w:tcPr>
          <w:p w14:paraId="696E94DE"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FFFFFF" w:themeFill="background1"/>
            <w:tcMar>
              <w:top w:w="17" w:type="dxa"/>
              <w:bottom w:w="17" w:type="dxa"/>
              <w:right w:w="28" w:type="dxa"/>
            </w:tcMar>
            <w:vAlign w:val="center"/>
            <w:hideMark/>
          </w:tcPr>
          <w:p w14:paraId="5251E9FB" w14:textId="77777777" w:rsidR="007D6EA2" w:rsidRPr="00BE67DE" w:rsidRDefault="007D6EA2" w:rsidP="007D6EA2">
            <w:pPr>
              <w:rPr>
                <w:rFonts w:ascii="Arial Narrow" w:hAnsi="Arial Narrow" w:cs="Calibri"/>
                <w:spacing w:val="-2"/>
                <w:sz w:val="20"/>
                <w:szCs w:val="20"/>
              </w:rPr>
            </w:pPr>
          </w:p>
        </w:tc>
        <w:tc>
          <w:tcPr>
            <w:tcW w:w="850" w:type="dxa"/>
            <w:shd w:val="clear" w:color="auto" w:fill="FFFFFF" w:themeFill="background1"/>
            <w:tcMar>
              <w:top w:w="17" w:type="dxa"/>
              <w:bottom w:w="17" w:type="dxa"/>
              <w:right w:w="28" w:type="dxa"/>
            </w:tcMar>
            <w:vAlign w:val="center"/>
            <w:hideMark/>
          </w:tcPr>
          <w:p w14:paraId="2B8A1A27" w14:textId="77777777" w:rsidR="007D6EA2" w:rsidRPr="004A20D6" w:rsidRDefault="007D6EA2" w:rsidP="007D6EA2">
            <w:pPr>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shd w:val="clear" w:color="auto" w:fill="FFFFFF" w:themeFill="background1"/>
            <w:tcMar>
              <w:top w:w="17" w:type="dxa"/>
              <w:bottom w:w="17" w:type="dxa"/>
              <w:right w:w="28" w:type="dxa"/>
            </w:tcMar>
            <w:vAlign w:val="center"/>
          </w:tcPr>
          <w:p w14:paraId="6C1A0715"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208 725</w:t>
            </w:r>
          </w:p>
        </w:tc>
        <w:tc>
          <w:tcPr>
            <w:tcW w:w="1134" w:type="dxa"/>
            <w:shd w:val="clear" w:color="auto" w:fill="FFFFFF" w:themeFill="background1"/>
            <w:tcMar>
              <w:top w:w="17" w:type="dxa"/>
              <w:bottom w:w="17" w:type="dxa"/>
              <w:right w:w="28" w:type="dxa"/>
            </w:tcMar>
            <w:vAlign w:val="center"/>
          </w:tcPr>
          <w:p w14:paraId="3D8EA452"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auto" w:fill="FFFFFF" w:themeFill="background1"/>
            <w:tcMar>
              <w:top w:w="17" w:type="dxa"/>
              <w:bottom w:w="17" w:type="dxa"/>
              <w:right w:w="28" w:type="dxa"/>
            </w:tcMar>
            <w:vAlign w:val="center"/>
          </w:tcPr>
          <w:p w14:paraId="2442A2A6"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208 725</w:t>
            </w:r>
          </w:p>
        </w:tc>
        <w:tc>
          <w:tcPr>
            <w:tcW w:w="1985" w:type="dxa"/>
            <w:shd w:val="clear" w:color="auto" w:fill="FFFFFF" w:themeFill="background1"/>
            <w:vAlign w:val="center"/>
          </w:tcPr>
          <w:p w14:paraId="2B66915F" w14:textId="77777777" w:rsidR="007D6EA2" w:rsidRPr="004A20D6" w:rsidRDefault="007D6EA2" w:rsidP="007D6EA2">
            <w:pPr>
              <w:rPr>
                <w:rFonts w:ascii="Arial Narrow" w:hAnsi="Arial Narrow" w:cs="Calibri"/>
                <w:spacing w:val="-2"/>
                <w:sz w:val="20"/>
                <w:szCs w:val="20"/>
              </w:rPr>
            </w:pPr>
          </w:p>
        </w:tc>
      </w:tr>
      <w:tr w:rsidR="007D6EA2" w:rsidRPr="004A20D6" w14:paraId="0C02625C" w14:textId="77777777" w:rsidTr="007D6EA2">
        <w:tc>
          <w:tcPr>
            <w:tcW w:w="993" w:type="dxa"/>
            <w:vMerge/>
            <w:tcMar>
              <w:top w:w="17" w:type="dxa"/>
              <w:bottom w:w="17" w:type="dxa"/>
              <w:right w:w="28" w:type="dxa"/>
            </w:tcMar>
            <w:vAlign w:val="center"/>
            <w:hideMark/>
          </w:tcPr>
          <w:p w14:paraId="752BE0F8"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2F6270D2"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000000" w:fill="DCE6F1"/>
            <w:tcMar>
              <w:top w:w="17" w:type="dxa"/>
              <w:bottom w:w="17" w:type="dxa"/>
              <w:right w:w="28" w:type="dxa"/>
            </w:tcMar>
            <w:vAlign w:val="center"/>
            <w:hideMark/>
          </w:tcPr>
          <w:p w14:paraId="6E8F0353" w14:textId="77777777" w:rsidR="007D6EA2" w:rsidRPr="00152A6F" w:rsidRDefault="007D6EA2" w:rsidP="007D6EA2">
            <w:pPr>
              <w:jc w:val="center"/>
              <w:rPr>
                <w:rFonts w:ascii="Arial Narrow" w:hAnsi="Arial Narrow" w:cs="Calibri"/>
                <w:bCs/>
                <w:color w:val="000000"/>
                <w:spacing w:val="-2"/>
                <w:sz w:val="20"/>
                <w:szCs w:val="20"/>
              </w:rPr>
            </w:pPr>
            <w:r w:rsidRPr="00152A6F">
              <w:rPr>
                <w:rFonts w:ascii="Arial Narrow" w:hAnsi="Arial Narrow" w:cs="Calibri"/>
                <w:bCs/>
                <w:color w:val="000000"/>
                <w:spacing w:val="-2"/>
                <w:sz w:val="20"/>
                <w:szCs w:val="20"/>
              </w:rPr>
              <w:t>MRR</w:t>
            </w:r>
          </w:p>
        </w:tc>
        <w:tc>
          <w:tcPr>
            <w:tcW w:w="1276" w:type="dxa"/>
            <w:shd w:val="clear" w:color="000000" w:fill="DCE6F1"/>
            <w:tcMar>
              <w:top w:w="17" w:type="dxa"/>
              <w:bottom w:w="17" w:type="dxa"/>
              <w:right w:w="28" w:type="dxa"/>
            </w:tcMar>
            <w:vAlign w:val="center"/>
          </w:tcPr>
          <w:p w14:paraId="7F7F7B96"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59 861 000</w:t>
            </w:r>
          </w:p>
        </w:tc>
        <w:tc>
          <w:tcPr>
            <w:tcW w:w="1134" w:type="dxa"/>
            <w:shd w:val="clear" w:color="000000" w:fill="DCE6F1"/>
            <w:tcMar>
              <w:top w:w="17" w:type="dxa"/>
              <w:bottom w:w="17" w:type="dxa"/>
              <w:right w:w="28" w:type="dxa"/>
            </w:tcMar>
            <w:vAlign w:val="center"/>
          </w:tcPr>
          <w:p w14:paraId="58B5342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000000" w:fill="DCE6F1"/>
            <w:tcMar>
              <w:top w:w="17" w:type="dxa"/>
              <w:bottom w:w="17" w:type="dxa"/>
              <w:right w:w="28" w:type="dxa"/>
            </w:tcMar>
            <w:vAlign w:val="center"/>
          </w:tcPr>
          <w:p w14:paraId="3A9FD14E"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59 861 000</w:t>
            </w:r>
          </w:p>
        </w:tc>
        <w:tc>
          <w:tcPr>
            <w:tcW w:w="1985" w:type="dxa"/>
            <w:shd w:val="clear" w:color="000000" w:fill="DCE6F1"/>
            <w:vAlign w:val="center"/>
          </w:tcPr>
          <w:p w14:paraId="202D7C33" w14:textId="77777777" w:rsidR="007D6EA2" w:rsidRPr="004A20D6" w:rsidRDefault="007D6EA2" w:rsidP="007D6EA2">
            <w:pPr>
              <w:rPr>
                <w:rFonts w:ascii="Arial Narrow" w:hAnsi="Arial Narrow" w:cs="Calibri"/>
                <w:spacing w:val="-2"/>
                <w:sz w:val="20"/>
                <w:szCs w:val="20"/>
              </w:rPr>
            </w:pPr>
          </w:p>
        </w:tc>
      </w:tr>
      <w:tr w:rsidR="007D6EA2" w:rsidRPr="004A20D6" w14:paraId="4B49C1A7" w14:textId="77777777" w:rsidTr="007D6EA2">
        <w:tc>
          <w:tcPr>
            <w:tcW w:w="993" w:type="dxa"/>
            <w:vMerge/>
            <w:tcMar>
              <w:top w:w="17" w:type="dxa"/>
              <w:bottom w:w="17" w:type="dxa"/>
              <w:right w:w="28" w:type="dxa"/>
            </w:tcMar>
            <w:vAlign w:val="center"/>
            <w:hideMark/>
          </w:tcPr>
          <w:p w14:paraId="52840EE1"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000000" w:fill="DCE6F1"/>
            <w:tcMar>
              <w:top w:w="17" w:type="dxa"/>
              <w:bottom w:w="17" w:type="dxa"/>
              <w:right w:w="28" w:type="dxa"/>
            </w:tcMar>
            <w:vAlign w:val="center"/>
            <w:hideMark/>
          </w:tcPr>
          <w:p w14:paraId="2F3BB511"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VRR</w:t>
            </w:r>
          </w:p>
        </w:tc>
        <w:tc>
          <w:tcPr>
            <w:tcW w:w="850" w:type="dxa"/>
            <w:shd w:val="clear" w:color="000000" w:fill="DCE6F1"/>
            <w:tcMar>
              <w:top w:w="17" w:type="dxa"/>
              <w:bottom w:w="17" w:type="dxa"/>
              <w:right w:w="28" w:type="dxa"/>
            </w:tcMar>
            <w:vAlign w:val="center"/>
            <w:hideMark/>
          </w:tcPr>
          <w:p w14:paraId="209E1329" w14:textId="77777777" w:rsidR="007D6EA2" w:rsidRPr="00152A6F" w:rsidRDefault="007D6EA2" w:rsidP="007D6EA2">
            <w:pPr>
              <w:jc w:val="center"/>
              <w:rPr>
                <w:rFonts w:ascii="Arial Narrow" w:hAnsi="Arial Narrow" w:cs="Calibri"/>
                <w:bCs/>
                <w:color w:val="000000"/>
                <w:spacing w:val="-2"/>
                <w:sz w:val="20"/>
                <w:szCs w:val="20"/>
              </w:rPr>
            </w:pPr>
            <w:r w:rsidRPr="00152A6F">
              <w:rPr>
                <w:rFonts w:ascii="Arial Narrow" w:hAnsi="Arial Narrow" w:cs="Calibri"/>
                <w:bCs/>
                <w:color w:val="000000"/>
                <w:spacing w:val="-2"/>
                <w:sz w:val="20"/>
                <w:szCs w:val="20"/>
              </w:rPr>
              <w:t>VRR</w:t>
            </w:r>
          </w:p>
        </w:tc>
        <w:tc>
          <w:tcPr>
            <w:tcW w:w="1276" w:type="dxa"/>
            <w:shd w:val="clear" w:color="000000" w:fill="DCE6F1"/>
            <w:tcMar>
              <w:top w:w="17" w:type="dxa"/>
              <w:bottom w:w="17" w:type="dxa"/>
              <w:right w:w="28" w:type="dxa"/>
            </w:tcMar>
            <w:vAlign w:val="center"/>
          </w:tcPr>
          <w:p w14:paraId="6B51D865"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2 139 000</w:t>
            </w:r>
          </w:p>
        </w:tc>
        <w:tc>
          <w:tcPr>
            <w:tcW w:w="1134" w:type="dxa"/>
            <w:shd w:val="clear" w:color="000000" w:fill="DCE6F1"/>
            <w:tcMar>
              <w:top w:w="17" w:type="dxa"/>
              <w:bottom w:w="17" w:type="dxa"/>
              <w:right w:w="28" w:type="dxa"/>
            </w:tcMar>
            <w:vAlign w:val="center"/>
          </w:tcPr>
          <w:p w14:paraId="3DE785FD"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000000" w:fill="DCE6F1"/>
            <w:tcMar>
              <w:top w:w="17" w:type="dxa"/>
              <w:bottom w:w="17" w:type="dxa"/>
              <w:right w:w="28" w:type="dxa"/>
            </w:tcMar>
            <w:vAlign w:val="center"/>
          </w:tcPr>
          <w:p w14:paraId="760C18F1"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2 139 000</w:t>
            </w:r>
          </w:p>
        </w:tc>
        <w:tc>
          <w:tcPr>
            <w:tcW w:w="1985" w:type="dxa"/>
            <w:shd w:val="clear" w:color="000000" w:fill="DCE6F1"/>
            <w:vAlign w:val="center"/>
          </w:tcPr>
          <w:p w14:paraId="4925D42E" w14:textId="77777777" w:rsidR="007D6EA2" w:rsidRPr="004A20D6" w:rsidRDefault="007D6EA2" w:rsidP="007D6EA2">
            <w:pPr>
              <w:rPr>
                <w:rFonts w:ascii="Arial Narrow" w:hAnsi="Arial Narrow" w:cs="Calibri"/>
                <w:spacing w:val="-2"/>
                <w:sz w:val="20"/>
                <w:szCs w:val="20"/>
              </w:rPr>
            </w:pPr>
          </w:p>
        </w:tc>
      </w:tr>
      <w:tr w:rsidR="007D6EA2" w:rsidRPr="004A20D6" w14:paraId="153F5187" w14:textId="77777777" w:rsidTr="00403E06">
        <w:trPr>
          <w:trHeight w:val="431"/>
        </w:trPr>
        <w:tc>
          <w:tcPr>
            <w:tcW w:w="993" w:type="dxa"/>
            <w:vMerge/>
            <w:tcBorders>
              <w:bottom w:val="single" w:sz="4" w:space="0" w:color="auto"/>
            </w:tcBorders>
            <w:tcMar>
              <w:top w:w="17" w:type="dxa"/>
              <w:bottom w:w="17" w:type="dxa"/>
              <w:right w:w="28" w:type="dxa"/>
            </w:tcMar>
            <w:vAlign w:val="center"/>
            <w:hideMark/>
          </w:tcPr>
          <w:p w14:paraId="6796EE72" w14:textId="77777777" w:rsidR="007D6EA2" w:rsidRPr="004A20D6" w:rsidRDefault="007D6EA2" w:rsidP="007D6EA2">
            <w:pPr>
              <w:rPr>
                <w:rFonts w:ascii="Arial Narrow" w:hAnsi="Arial Narrow" w:cs="Calibri"/>
                <w:b/>
                <w:bCs/>
                <w:color w:val="000000"/>
                <w:spacing w:val="-2"/>
                <w:sz w:val="20"/>
                <w:szCs w:val="20"/>
              </w:rPr>
            </w:pPr>
          </w:p>
        </w:tc>
        <w:tc>
          <w:tcPr>
            <w:tcW w:w="3119" w:type="dxa"/>
            <w:tcBorders>
              <w:bottom w:val="single" w:sz="4" w:space="0" w:color="auto"/>
            </w:tcBorders>
            <w:shd w:val="clear" w:color="auto" w:fill="B8CCE4" w:themeFill="accent1" w:themeFillTint="66"/>
            <w:tcMar>
              <w:top w:w="17" w:type="dxa"/>
              <w:bottom w:w="17" w:type="dxa"/>
              <w:right w:w="28" w:type="dxa"/>
            </w:tcMar>
            <w:vAlign w:val="center"/>
            <w:hideMark/>
          </w:tcPr>
          <w:p w14:paraId="24466FE5"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tcBorders>
              <w:bottom w:val="single" w:sz="4" w:space="0" w:color="auto"/>
            </w:tcBorders>
            <w:shd w:val="clear" w:color="000000" w:fill="B8CCE4"/>
            <w:tcMar>
              <w:top w:w="17" w:type="dxa"/>
              <w:bottom w:w="17" w:type="dxa"/>
              <w:right w:w="28" w:type="dxa"/>
            </w:tcMar>
            <w:vAlign w:val="center"/>
            <w:hideMark/>
          </w:tcPr>
          <w:p w14:paraId="3D3F6DEC"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w:t>
            </w:r>
          </w:p>
        </w:tc>
        <w:tc>
          <w:tcPr>
            <w:tcW w:w="1276" w:type="dxa"/>
            <w:tcBorders>
              <w:bottom w:val="single" w:sz="4" w:space="0" w:color="auto"/>
            </w:tcBorders>
            <w:shd w:val="clear" w:color="000000" w:fill="B8CCE4"/>
            <w:tcMar>
              <w:top w:w="17" w:type="dxa"/>
              <w:bottom w:w="17" w:type="dxa"/>
              <w:right w:w="28" w:type="dxa"/>
            </w:tcMar>
            <w:vAlign w:val="center"/>
          </w:tcPr>
          <w:p w14:paraId="4568C662"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62 000 000</w:t>
            </w:r>
          </w:p>
        </w:tc>
        <w:tc>
          <w:tcPr>
            <w:tcW w:w="1134" w:type="dxa"/>
            <w:tcBorders>
              <w:bottom w:val="single" w:sz="4" w:space="0" w:color="auto"/>
            </w:tcBorders>
            <w:shd w:val="clear" w:color="000000" w:fill="B8CCE4"/>
            <w:tcMar>
              <w:top w:w="17" w:type="dxa"/>
              <w:bottom w:w="17" w:type="dxa"/>
              <w:right w:w="28" w:type="dxa"/>
            </w:tcMar>
            <w:vAlign w:val="center"/>
          </w:tcPr>
          <w:p w14:paraId="5F8F7AA9"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tcBorders>
              <w:bottom w:val="single" w:sz="4" w:space="0" w:color="auto"/>
            </w:tcBorders>
            <w:shd w:val="clear" w:color="000000" w:fill="B8CCE4"/>
            <w:tcMar>
              <w:top w:w="17" w:type="dxa"/>
              <w:bottom w:w="17" w:type="dxa"/>
              <w:right w:w="28" w:type="dxa"/>
            </w:tcMar>
            <w:vAlign w:val="center"/>
          </w:tcPr>
          <w:p w14:paraId="1E61962A"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62 000 000</w:t>
            </w:r>
          </w:p>
        </w:tc>
        <w:tc>
          <w:tcPr>
            <w:tcW w:w="1985" w:type="dxa"/>
            <w:tcBorders>
              <w:bottom w:val="single" w:sz="4" w:space="0" w:color="auto"/>
            </w:tcBorders>
            <w:shd w:val="clear" w:color="000000" w:fill="B8CCE4"/>
            <w:vAlign w:val="center"/>
          </w:tcPr>
          <w:p w14:paraId="20CA8AE6" w14:textId="77777777" w:rsidR="007D6EA2" w:rsidRPr="004A20D6" w:rsidRDefault="007D6EA2" w:rsidP="007D6EA2">
            <w:pPr>
              <w:rPr>
                <w:rFonts w:ascii="Arial Narrow" w:hAnsi="Arial Narrow" w:cs="Calibri"/>
                <w:spacing w:val="-2"/>
                <w:sz w:val="20"/>
                <w:szCs w:val="20"/>
              </w:rPr>
            </w:pPr>
          </w:p>
        </w:tc>
      </w:tr>
      <w:tr w:rsidR="007D6EA2" w:rsidRPr="004A20D6" w14:paraId="689F9E1B" w14:textId="77777777" w:rsidTr="007D6EA2">
        <w:tc>
          <w:tcPr>
            <w:tcW w:w="993" w:type="dxa"/>
            <w:vMerge w:val="restart"/>
            <w:shd w:val="clear" w:color="auto" w:fill="auto"/>
            <w:tcMar>
              <w:top w:w="17" w:type="dxa"/>
              <w:bottom w:w="17" w:type="dxa"/>
              <w:right w:w="28" w:type="dxa"/>
            </w:tcMar>
            <w:vAlign w:val="center"/>
          </w:tcPr>
          <w:p w14:paraId="392775D2"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 xml:space="preserve">7. </w:t>
            </w:r>
          </w:p>
          <w:p w14:paraId="39DFC198"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REACT-EÚ</w:t>
            </w:r>
          </w:p>
        </w:tc>
        <w:tc>
          <w:tcPr>
            <w:tcW w:w="3119" w:type="dxa"/>
            <w:shd w:val="clear" w:color="auto" w:fill="auto"/>
            <w:tcMar>
              <w:top w:w="17" w:type="dxa"/>
              <w:bottom w:w="17" w:type="dxa"/>
              <w:right w:w="28" w:type="dxa"/>
            </w:tcMar>
            <w:vAlign w:val="center"/>
          </w:tcPr>
          <w:p w14:paraId="5812C8EC"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 xml:space="preserve">7.1. </w:t>
            </w:r>
            <w:r w:rsidRPr="00BE67DE">
              <w:rPr>
                <w:rFonts w:ascii="Arial Narrow" w:hAnsi="Arial Narrow" w:cs="Calibri"/>
                <w:iCs/>
                <w:spacing w:val="-2"/>
                <w:sz w:val="20"/>
                <w:szCs w:val="20"/>
              </w:rPr>
              <w:t>Zvýšenie atraktivity a konkurencieschopnosti verejnej osobnej dopravy</w:t>
            </w:r>
          </w:p>
        </w:tc>
        <w:tc>
          <w:tcPr>
            <w:tcW w:w="850" w:type="dxa"/>
            <w:shd w:val="clear" w:color="auto" w:fill="auto"/>
            <w:tcMar>
              <w:top w:w="17" w:type="dxa"/>
              <w:bottom w:w="17" w:type="dxa"/>
              <w:right w:w="28" w:type="dxa"/>
            </w:tcMar>
            <w:vAlign w:val="center"/>
          </w:tcPr>
          <w:p w14:paraId="63B2E45E" w14:textId="77777777" w:rsidR="007D6EA2" w:rsidRPr="004A20D6" w:rsidRDefault="007D6EA2" w:rsidP="007D6EA2">
            <w:pPr>
              <w:jc w:val="center"/>
              <w:rPr>
                <w:rFonts w:ascii="Arial Narrow" w:hAnsi="Arial Narrow" w:cs="Calibri"/>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60EFD3CC"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8 600 000</w:t>
            </w:r>
          </w:p>
        </w:tc>
        <w:tc>
          <w:tcPr>
            <w:tcW w:w="1134" w:type="dxa"/>
            <w:shd w:val="clear" w:color="auto" w:fill="auto"/>
            <w:tcMar>
              <w:top w:w="17" w:type="dxa"/>
              <w:bottom w:w="17" w:type="dxa"/>
              <w:right w:w="28" w:type="dxa"/>
            </w:tcMar>
            <w:vAlign w:val="center"/>
          </w:tcPr>
          <w:p w14:paraId="6B9D174B"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-3 760 000</w:t>
            </w:r>
          </w:p>
        </w:tc>
        <w:tc>
          <w:tcPr>
            <w:tcW w:w="1276" w:type="dxa"/>
            <w:shd w:val="clear" w:color="auto" w:fill="auto"/>
            <w:tcMar>
              <w:top w:w="17" w:type="dxa"/>
              <w:bottom w:w="17" w:type="dxa"/>
              <w:right w:w="28" w:type="dxa"/>
            </w:tcMar>
            <w:vAlign w:val="center"/>
          </w:tcPr>
          <w:p w14:paraId="04937E74"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4 840 000</w:t>
            </w:r>
          </w:p>
        </w:tc>
        <w:tc>
          <w:tcPr>
            <w:tcW w:w="1985" w:type="dxa"/>
            <w:vAlign w:val="center"/>
          </w:tcPr>
          <w:p w14:paraId="2966D254"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10</w:t>
            </w:r>
          </w:p>
        </w:tc>
      </w:tr>
      <w:tr w:rsidR="007D6EA2" w:rsidRPr="004A20D6" w14:paraId="6D9055DF" w14:textId="77777777" w:rsidTr="007D6EA2">
        <w:tc>
          <w:tcPr>
            <w:tcW w:w="993" w:type="dxa"/>
            <w:vMerge/>
            <w:shd w:val="clear" w:color="auto" w:fill="auto"/>
            <w:tcMar>
              <w:top w:w="17" w:type="dxa"/>
              <w:bottom w:w="17" w:type="dxa"/>
              <w:right w:w="28" w:type="dxa"/>
            </w:tcMar>
            <w:vAlign w:val="center"/>
          </w:tcPr>
          <w:p w14:paraId="4E81577C"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53061C8B"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 xml:space="preserve">7.2. </w:t>
            </w:r>
            <w:r w:rsidRPr="00BE67DE">
              <w:rPr>
                <w:rFonts w:ascii="Arial Narrow" w:hAnsi="Arial Narrow" w:cs="Calibri"/>
                <w:iCs/>
                <w:spacing w:val="-2"/>
                <w:sz w:val="20"/>
                <w:szCs w:val="20"/>
              </w:rPr>
              <w:t>Zvýšenie atraktivity a prepravnej kapacity nemotorovej dopravy (predovšetkým cyklistickej dopravy) na</w:t>
            </w:r>
            <w:r w:rsidRPr="004A20D6">
              <w:rPr>
                <w:rFonts w:ascii="Arial Narrow" w:hAnsi="Arial Narrow" w:cs="Calibri"/>
                <w:iCs/>
                <w:spacing w:val="-2"/>
                <w:sz w:val="20"/>
                <w:szCs w:val="20"/>
              </w:rPr>
              <w:t> </w:t>
            </w:r>
            <w:r w:rsidRPr="00BE67DE">
              <w:rPr>
                <w:rFonts w:ascii="Arial Narrow" w:hAnsi="Arial Narrow" w:cs="Calibri"/>
                <w:iCs/>
                <w:spacing w:val="-2"/>
                <w:sz w:val="20"/>
                <w:szCs w:val="20"/>
              </w:rPr>
              <w:t>celkovom počte prepravených osôb</w:t>
            </w:r>
          </w:p>
        </w:tc>
        <w:tc>
          <w:tcPr>
            <w:tcW w:w="850" w:type="dxa"/>
            <w:shd w:val="clear" w:color="auto" w:fill="auto"/>
            <w:tcMar>
              <w:top w:w="17" w:type="dxa"/>
              <w:bottom w:w="17" w:type="dxa"/>
              <w:right w:w="28" w:type="dxa"/>
            </w:tcMar>
            <w:vAlign w:val="center"/>
          </w:tcPr>
          <w:p w14:paraId="2C81DAF0"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0CB8E5E2"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30 234 489</w:t>
            </w:r>
          </w:p>
        </w:tc>
        <w:tc>
          <w:tcPr>
            <w:tcW w:w="1134" w:type="dxa"/>
            <w:shd w:val="clear" w:color="auto" w:fill="auto"/>
            <w:tcMar>
              <w:top w:w="17" w:type="dxa"/>
              <w:bottom w:w="17" w:type="dxa"/>
              <w:right w:w="28" w:type="dxa"/>
            </w:tcMar>
            <w:vAlign w:val="center"/>
          </w:tcPr>
          <w:p w14:paraId="2C57C786"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-5 560 000</w:t>
            </w:r>
          </w:p>
        </w:tc>
        <w:tc>
          <w:tcPr>
            <w:tcW w:w="1276" w:type="dxa"/>
            <w:shd w:val="clear" w:color="auto" w:fill="auto"/>
            <w:tcMar>
              <w:top w:w="17" w:type="dxa"/>
              <w:bottom w:w="17" w:type="dxa"/>
              <w:right w:w="28" w:type="dxa"/>
            </w:tcMar>
            <w:vAlign w:val="center"/>
          </w:tcPr>
          <w:p w14:paraId="3E8E30E7"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24 674 489</w:t>
            </w:r>
          </w:p>
        </w:tc>
        <w:tc>
          <w:tcPr>
            <w:tcW w:w="1985" w:type="dxa"/>
            <w:vAlign w:val="center"/>
          </w:tcPr>
          <w:p w14:paraId="6FF6E3DC"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10</w:t>
            </w:r>
          </w:p>
        </w:tc>
      </w:tr>
      <w:tr w:rsidR="007D6EA2" w:rsidRPr="004A20D6" w14:paraId="37F98FE3" w14:textId="77777777" w:rsidTr="007D6EA2">
        <w:tc>
          <w:tcPr>
            <w:tcW w:w="993" w:type="dxa"/>
            <w:vMerge/>
            <w:shd w:val="clear" w:color="auto" w:fill="auto"/>
            <w:tcMar>
              <w:top w:w="17" w:type="dxa"/>
              <w:bottom w:w="17" w:type="dxa"/>
              <w:right w:w="28" w:type="dxa"/>
            </w:tcMar>
            <w:vAlign w:val="center"/>
          </w:tcPr>
          <w:p w14:paraId="553B3C07"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5C7AC7A9"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7.3. Zlepšenie environmentálnych aspektov v</w:t>
            </w:r>
            <w:r w:rsidRPr="004A20D6">
              <w:rPr>
                <w:rFonts w:ascii="Arial Narrow" w:hAnsi="Arial Narrow" w:cs="Calibri"/>
                <w:spacing w:val="-2"/>
                <w:sz w:val="20"/>
                <w:szCs w:val="20"/>
              </w:rPr>
              <w:t> </w:t>
            </w:r>
            <w:r w:rsidRPr="00BE67DE">
              <w:rPr>
                <w:rFonts w:ascii="Arial Narrow" w:hAnsi="Arial Narrow" w:cs="Calibri"/>
                <w:spacing w:val="-2"/>
                <w:sz w:val="20"/>
                <w:szCs w:val="20"/>
              </w:rPr>
              <w:t>mestách a mestských oblastiach</w:t>
            </w:r>
          </w:p>
        </w:tc>
        <w:tc>
          <w:tcPr>
            <w:tcW w:w="850" w:type="dxa"/>
            <w:shd w:val="clear" w:color="auto" w:fill="auto"/>
            <w:tcMar>
              <w:top w:w="17" w:type="dxa"/>
              <w:bottom w:w="17" w:type="dxa"/>
              <w:right w:w="28" w:type="dxa"/>
            </w:tcMar>
            <w:vAlign w:val="center"/>
          </w:tcPr>
          <w:p w14:paraId="6D4A868B"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5F186EC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13 285 195</w:t>
            </w:r>
          </w:p>
        </w:tc>
        <w:tc>
          <w:tcPr>
            <w:tcW w:w="1134" w:type="dxa"/>
            <w:shd w:val="clear" w:color="auto" w:fill="auto"/>
            <w:tcMar>
              <w:top w:w="17" w:type="dxa"/>
              <w:bottom w:w="17" w:type="dxa"/>
              <w:right w:w="28" w:type="dxa"/>
            </w:tcMar>
            <w:vAlign w:val="center"/>
          </w:tcPr>
          <w:p w14:paraId="475E412D"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-1 895 000</w:t>
            </w:r>
          </w:p>
        </w:tc>
        <w:tc>
          <w:tcPr>
            <w:tcW w:w="1276" w:type="dxa"/>
            <w:shd w:val="clear" w:color="auto" w:fill="auto"/>
            <w:tcMar>
              <w:top w:w="17" w:type="dxa"/>
              <w:bottom w:w="17" w:type="dxa"/>
              <w:right w:w="28" w:type="dxa"/>
            </w:tcMar>
            <w:vAlign w:val="center"/>
          </w:tcPr>
          <w:p w14:paraId="05F72B60"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11 390 195</w:t>
            </w:r>
          </w:p>
        </w:tc>
        <w:tc>
          <w:tcPr>
            <w:tcW w:w="1985" w:type="dxa"/>
            <w:vAlign w:val="center"/>
          </w:tcPr>
          <w:p w14:paraId="7647B50C"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10</w:t>
            </w:r>
          </w:p>
        </w:tc>
      </w:tr>
      <w:tr w:rsidR="007D6EA2" w:rsidRPr="004A20D6" w14:paraId="72A9FF60" w14:textId="77777777" w:rsidTr="007D6EA2">
        <w:tc>
          <w:tcPr>
            <w:tcW w:w="993" w:type="dxa"/>
            <w:vMerge/>
            <w:shd w:val="clear" w:color="auto" w:fill="auto"/>
            <w:tcMar>
              <w:top w:w="17" w:type="dxa"/>
              <w:bottom w:w="17" w:type="dxa"/>
              <w:right w:w="28" w:type="dxa"/>
            </w:tcMar>
            <w:vAlign w:val="center"/>
          </w:tcPr>
          <w:p w14:paraId="7C11BB1F"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4F44954A"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7.4. Zvýšenie kapacít základných škôl v Bratislavskom kraji</w:t>
            </w:r>
          </w:p>
        </w:tc>
        <w:tc>
          <w:tcPr>
            <w:tcW w:w="850" w:type="dxa"/>
            <w:shd w:val="clear" w:color="auto" w:fill="auto"/>
            <w:tcMar>
              <w:top w:w="17" w:type="dxa"/>
              <w:bottom w:w="17" w:type="dxa"/>
              <w:right w:w="28" w:type="dxa"/>
            </w:tcMar>
            <w:vAlign w:val="center"/>
          </w:tcPr>
          <w:p w14:paraId="152009A2"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091E45DA"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61 264</w:t>
            </w:r>
            <w:r>
              <w:rPr>
                <w:rFonts w:ascii="Arial Narrow" w:hAnsi="Arial Narrow" w:cs="Calibri"/>
                <w:color w:val="000000"/>
                <w:spacing w:val="-2"/>
                <w:sz w:val="20"/>
                <w:szCs w:val="20"/>
              </w:rPr>
              <w:t> </w:t>
            </w:r>
            <w:r w:rsidRPr="00EB1889">
              <w:rPr>
                <w:rFonts w:ascii="Arial Narrow" w:hAnsi="Arial Narrow" w:cs="Calibri"/>
                <w:color w:val="000000"/>
                <w:spacing w:val="-2"/>
                <w:sz w:val="20"/>
                <w:szCs w:val="20"/>
              </w:rPr>
              <w:t>400</w:t>
            </w:r>
          </w:p>
        </w:tc>
        <w:tc>
          <w:tcPr>
            <w:tcW w:w="1134" w:type="dxa"/>
            <w:shd w:val="clear" w:color="auto" w:fill="auto"/>
            <w:tcMar>
              <w:top w:w="17" w:type="dxa"/>
              <w:bottom w:w="17" w:type="dxa"/>
              <w:right w:w="28" w:type="dxa"/>
            </w:tcMar>
            <w:vAlign w:val="center"/>
          </w:tcPr>
          <w:p w14:paraId="696A5FEF"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-31 560 000</w:t>
            </w:r>
          </w:p>
        </w:tc>
        <w:tc>
          <w:tcPr>
            <w:tcW w:w="1276" w:type="dxa"/>
            <w:shd w:val="clear" w:color="auto" w:fill="auto"/>
            <w:tcMar>
              <w:top w:w="17" w:type="dxa"/>
              <w:bottom w:w="17" w:type="dxa"/>
              <w:right w:w="28" w:type="dxa"/>
            </w:tcMar>
            <w:vAlign w:val="center"/>
          </w:tcPr>
          <w:p w14:paraId="30EF4651"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29 704 400</w:t>
            </w:r>
          </w:p>
        </w:tc>
        <w:tc>
          <w:tcPr>
            <w:tcW w:w="1985" w:type="dxa"/>
            <w:vAlign w:val="center"/>
          </w:tcPr>
          <w:p w14:paraId="666959E1"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10</w:t>
            </w:r>
          </w:p>
        </w:tc>
      </w:tr>
      <w:tr w:rsidR="007D6EA2" w:rsidRPr="004A20D6" w14:paraId="3E7DC9A5" w14:textId="77777777" w:rsidTr="007D6EA2">
        <w:tc>
          <w:tcPr>
            <w:tcW w:w="993" w:type="dxa"/>
            <w:vMerge/>
            <w:shd w:val="clear" w:color="auto" w:fill="auto"/>
            <w:tcMar>
              <w:top w:w="17" w:type="dxa"/>
              <w:bottom w:w="17" w:type="dxa"/>
              <w:right w:w="28" w:type="dxa"/>
            </w:tcMar>
            <w:vAlign w:val="center"/>
          </w:tcPr>
          <w:p w14:paraId="7EB702A1"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4DECC4F6"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 xml:space="preserve">7.5. </w:t>
            </w:r>
            <w:r w:rsidRPr="00BE67DE">
              <w:rPr>
                <w:rFonts w:ascii="Arial Narrow" w:hAnsi="Arial Narrow" w:cs="Calibri"/>
                <w:iCs/>
                <w:spacing w:val="-2"/>
                <w:sz w:val="20"/>
                <w:szCs w:val="20"/>
              </w:rPr>
              <w:t>Zvýšenie počtu žia</w:t>
            </w:r>
            <w:r>
              <w:rPr>
                <w:rFonts w:ascii="Arial Narrow" w:hAnsi="Arial Narrow" w:cs="Calibri"/>
                <w:iCs/>
                <w:spacing w:val="-2"/>
                <w:sz w:val="20"/>
                <w:szCs w:val="20"/>
              </w:rPr>
              <w:t>kov stredných odborných škôl na </w:t>
            </w:r>
            <w:r w:rsidRPr="00BE67DE">
              <w:rPr>
                <w:rFonts w:ascii="Arial Narrow" w:hAnsi="Arial Narrow" w:cs="Calibri"/>
                <w:iCs/>
                <w:spacing w:val="-2"/>
                <w:sz w:val="20"/>
                <w:szCs w:val="20"/>
              </w:rPr>
              <w:t>praktickom vyučovaní v Banskobystrickom kraji</w:t>
            </w:r>
          </w:p>
        </w:tc>
        <w:tc>
          <w:tcPr>
            <w:tcW w:w="850" w:type="dxa"/>
            <w:shd w:val="clear" w:color="auto" w:fill="auto"/>
            <w:tcMar>
              <w:top w:w="17" w:type="dxa"/>
              <w:bottom w:w="17" w:type="dxa"/>
              <w:right w:w="28" w:type="dxa"/>
            </w:tcMar>
            <w:vAlign w:val="center"/>
          </w:tcPr>
          <w:p w14:paraId="0F4CEF8E"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158EDA6E"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23 448</w:t>
            </w:r>
            <w:r>
              <w:rPr>
                <w:rFonts w:ascii="Arial Narrow" w:hAnsi="Arial Narrow" w:cs="Calibri"/>
                <w:color w:val="000000"/>
                <w:spacing w:val="-2"/>
                <w:sz w:val="20"/>
                <w:szCs w:val="20"/>
              </w:rPr>
              <w:t> </w:t>
            </w:r>
            <w:r w:rsidRPr="00EB1889">
              <w:rPr>
                <w:rFonts w:ascii="Arial Narrow" w:hAnsi="Arial Narrow" w:cs="Calibri"/>
                <w:color w:val="000000"/>
                <w:spacing w:val="-2"/>
                <w:sz w:val="20"/>
                <w:szCs w:val="20"/>
              </w:rPr>
              <w:t>300</w:t>
            </w:r>
          </w:p>
        </w:tc>
        <w:tc>
          <w:tcPr>
            <w:tcW w:w="1134" w:type="dxa"/>
            <w:shd w:val="clear" w:color="auto" w:fill="auto"/>
            <w:tcMar>
              <w:top w:w="17" w:type="dxa"/>
              <w:bottom w:w="17" w:type="dxa"/>
              <w:right w:w="28" w:type="dxa"/>
            </w:tcMar>
            <w:vAlign w:val="center"/>
          </w:tcPr>
          <w:p w14:paraId="245E5826"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-11 942 921</w:t>
            </w:r>
          </w:p>
        </w:tc>
        <w:tc>
          <w:tcPr>
            <w:tcW w:w="1276" w:type="dxa"/>
            <w:shd w:val="clear" w:color="auto" w:fill="auto"/>
            <w:tcMar>
              <w:top w:w="17" w:type="dxa"/>
              <w:bottom w:w="17" w:type="dxa"/>
              <w:right w:w="28" w:type="dxa"/>
            </w:tcMar>
            <w:vAlign w:val="center"/>
          </w:tcPr>
          <w:p w14:paraId="52686765"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11 505 379</w:t>
            </w:r>
          </w:p>
        </w:tc>
        <w:tc>
          <w:tcPr>
            <w:tcW w:w="1985" w:type="dxa"/>
            <w:vAlign w:val="center"/>
          </w:tcPr>
          <w:p w14:paraId="0A53735F"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10</w:t>
            </w:r>
          </w:p>
        </w:tc>
      </w:tr>
      <w:tr w:rsidR="007D6EA2" w:rsidRPr="004A20D6" w14:paraId="58411240" w14:textId="77777777" w:rsidTr="007D6EA2">
        <w:tc>
          <w:tcPr>
            <w:tcW w:w="993" w:type="dxa"/>
            <w:vMerge/>
            <w:shd w:val="clear" w:color="auto" w:fill="auto"/>
            <w:tcMar>
              <w:top w:w="17" w:type="dxa"/>
              <w:bottom w:w="17" w:type="dxa"/>
              <w:right w:w="28" w:type="dxa"/>
            </w:tcMar>
            <w:vAlign w:val="center"/>
          </w:tcPr>
          <w:p w14:paraId="7AAD9960"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70E2014A"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 xml:space="preserve">7.6. Predprojektová príprava  </w:t>
            </w:r>
          </w:p>
        </w:tc>
        <w:tc>
          <w:tcPr>
            <w:tcW w:w="850" w:type="dxa"/>
            <w:shd w:val="clear" w:color="auto" w:fill="auto"/>
            <w:tcMar>
              <w:top w:w="17" w:type="dxa"/>
              <w:bottom w:w="17" w:type="dxa"/>
              <w:right w:w="28" w:type="dxa"/>
            </w:tcMar>
            <w:vAlign w:val="center"/>
          </w:tcPr>
          <w:p w14:paraId="2958792F"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422DB8F2"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29 000</w:t>
            </w:r>
            <w:r>
              <w:rPr>
                <w:rFonts w:ascii="Arial Narrow" w:hAnsi="Arial Narrow" w:cs="Calibri"/>
                <w:color w:val="000000"/>
                <w:spacing w:val="-2"/>
                <w:sz w:val="20"/>
                <w:szCs w:val="20"/>
              </w:rPr>
              <w:t> </w:t>
            </w:r>
            <w:r w:rsidRPr="00EB1889">
              <w:rPr>
                <w:rFonts w:ascii="Arial Narrow" w:hAnsi="Arial Narrow" w:cs="Calibri"/>
                <w:color w:val="000000"/>
                <w:spacing w:val="-2"/>
                <w:sz w:val="20"/>
                <w:szCs w:val="20"/>
              </w:rPr>
              <w:t>000</w:t>
            </w:r>
          </w:p>
        </w:tc>
        <w:tc>
          <w:tcPr>
            <w:tcW w:w="1134" w:type="dxa"/>
            <w:shd w:val="clear" w:color="auto" w:fill="auto"/>
            <w:tcMar>
              <w:top w:w="17" w:type="dxa"/>
              <w:bottom w:w="17" w:type="dxa"/>
              <w:right w:w="28" w:type="dxa"/>
            </w:tcMar>
            <w:vAlign w:val="center"/>
          </w:tcPr>
          <w:p w14:paraId="6F1CF095"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-17 678 814</w:t>
            </w:r>
          </w:p>
        </w:tc>
        <w:tc>
          <w:tcPr>
            <w:tcW w:w="1276" w:type="dxa"/>
            <w:shd w:val="clear" w:color="auto" w:fill="auto"/>
            <w:tcMar>
              <w:top w:w="17" w:type="dxa"/>
              <w:bottom w:w="17" w:type="dxa"/>
              <w:right w:w="28" w:type="dxa"/>
            </w:tcMar>
            <w:vAlign w:val="center"/>
          </w:tcPr>
          <w:p w14:paraId="444667B5"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11 321 186</w:t>
            </w:r>
          </w:p>
        </w:tc>
        <w:tc>
          <w:tcPr>
            <w:tcW w:w="1985" w:type="dxa"/>
          </w:tcPr>
          <w:p w14:paraId="5C057407"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10</w:t>
            </w:r>
          </w:p>
        </w:tc>
      </w:tr>
      <w:tr w:rsidR="007D6EA2" w:rsidRPr="004A20D6" w14:paraId="47E6FC92" w14:textId="77777777" w:rsidTr="007D6EA2">
        <w:tc>
          <w:tcPr>
            <w:tcW w:w="993" w:type="dxa"/>
            <w:vMerge/>
            <w:shd w:val="clear" w:color="auto" w:fill="auto"/>
            <w:tcMar>
              <w:top w:w="17" w:type="dxa"/>
              <w:bottom w:w="17" w:type="dxa"/>
              <w:right w:w="28" w:type="dxa"/>
            </w:tcMar>
            <w:vAlign w:val="center"/>
          </w:tcPr>
          <w:p w14:paraId="5365F5B1"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098F7C58"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7.7. Podpora udržateľnosti a odolnosti kultúrnych inštitúcii</w:t>
            </w:r>
          </w:p>
        </w:tc>
        <w:tc>
          <w:tcPr>
            <w:tcW w:w="850" w:type="dxa"/>
            <w:shd w:val="clear" w:color="auto" w:fill="auto"/>
            <w:tcMar>
              <w:top w:w="17" w:type="dxa"/>
              <w:bottom w:w="17" w:type="dxa"/>
              <w:right w:w="28" w:type="dxa"/>
            </w:tcMar>
            <w:vAlign w:val="center"/>
          </w:tcPr>
          <w:p w14:paraId="60A1E4CE"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3DD38C73"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14 850</w:t>
            </w:r>
            <w:r>
              <w:rPr>
                <w:rFonts w:ascii="Arial Narrow" w:hAnsi="Arial Narrow" w:cs="Calibri"/>
                <w:color w:val="000000"/>
                <w:spacing w:val="-2"/>
                <w:sz w:val="20"/>
                <w:szCs w:val="20"/>
              </w:rPr>
              <w:t> </w:t>
            </w:r>
            <w:r w:rsidRPr="00EB1889">
              <w:rPr>
                <w:rFonts w:ascii="Arial Narrow" w:hAnsi="Arial Narrow" w:cs="Calibri"/>
                <w:color w:val="000000"/>
                <w:spacing w:val="-2"/>
                <w:sz w:val="20"/>
                <w:szCs w:val="20"/>
              </w:rPr>
              <w:t>600</w:t>
            </w:r>
          </w:p>
        </w:tc>
        <w:tc>
          <w:tcPr>
            <w:tcW w:w="1134" w:type="dxa"/>
            <w:shd w:val="clear" w:color="auto" w:fill="auto"/>
            <w:tcMar>
              <w:top w:w="17" w:type="dxa"/>
              <w:bottom w:w="17" w:type="dxa"/>
              <w:right w:w="28" w:type="dxa"/>
            </w:tcMar>
            <w:vAlign w:val="center"/>
          </w:tcPr>
          <w:p w14:paraId="77BFFAE8" w14:textId="77777777" w:rsidR="007D6EA2" w:rsidRPr="004A20D6" w:rsidRDefault="007D6EA2" w:rsidP="007D6EA2">
            <w:pPr>
              <w:ind w:right="28"/>
              <w:jc w:val="right"/>
              <w:rPr>
                <w:rFonts w:ascii="Arial Narrow" w:hAnsi="Arial Narrow" w:cs="Calibri"/>
                <w:color w:val="000000"/>
                <w:spacing w:val="-2"/>
                <w:sz w:val="20"/>
                <w:szCs w:val="20"/>
              </w:rPr>
            </w:pPr>
            <w:r w:rsidRPr="009A479B">
              <w:rPr>
                <w:rFonts w:ascii="Arial Narrow" w:hAnsi="Arial Narrow" w:cs="Calibri"/>
                <w:color w:val="000000"/>
                <w:spacing w:val="-2"/>
                <w:sz w:val="20"/>
                <w:szCs w:val="20"/>
              </w:rPr>
              <w:t>-3 970 000</w:t>
            </w:r>
          </w:p>
        </w:tc>
        <w:tc>
          <w:tcPr>
            <w:tcW w:w="1276" w:type="dxa"/>
            <w:shd w:val="clear" w:color="auto" w:fill="auto"/>
            <w:tcMar>
              <w:top w:w="17" w:type="dxa"/>
              <w:bottom w:w="17" w:type="dxa"/>
              <w:right w:w="28" w:type="dxa"/>
            </w:tcMar>
            <w:vAlign w:val="center"/>
          </w:tcPr>
          <w:p w14:paraId="1B097C09" w14:textId="77777777" w:rsidR="007D6EA2" w:rsidRPr="004A20D6" w:rsidRDefault="007D6EA2" w:rsidP="007D6EA2">
            <w:pPr>
              <w:ind w:right="28"/>
              <w:jc w:val="right"/>
              <w:rPr>
                <w:rFonts w:ascii="Arial Narrow" w:hAnsi="Arial Narrow" w:cs="Calibri"/>
                <w:spacing w:val="-2"/>
                <w:sz w:val="20"/>
                <w:szCs w:val="20"/>
              </w:rPr>
            </w:pPr>
            <w:r w:rsidRPr="009A479B">
              <w:rPr>
                <w:rFonts w:ascii="Arial Narrow" w:hAnsi="Arial Narrow" w:cs="Calibri"/>
                <w:spacing w:val="-2"/>
                <w:sz w:val="20"/>
                <w:szCs w:val="20"/>
              </w:rPr>
              <w:t>10 880</w:t>
            </w:r>
            <w:r>
              <w:rPr>
                <w:rFonts w:ascii="Arial Narrow" w:hAnsi="Arial Narrow" w:cs="Calibri"/>
                <w:spacing w:val="-2"/>
                <w:sz w:val="20"/>
                <w:szCs w:val="20"/>
              </w:rPr>
              <w:t> </w:t>
            </w:r>
            <w:r w:rsidRPr="009A479B">
              <w:rPr>
                <w:rFonts w:ascii="Arial Narrow" w:hAnsi="Arial Narrow" w:cs="Calibri"/>
                <w:spacing w:val="-2"/>
                <w:sz w:val="20"/>
                <w:szCs w:val="20"/>
              </w:rPr>
              <w:t>600</w:t>
            </w:r>
          </w:p>
        </w:tc>
        <w:tc>
          <w:tcPr>
            <w:tcW w:w="1985" w:type="dxa"/>
          </w:tcPr>
          <w:p w14:paraId="55E83285" w14:textId="77777777" w:rsidR="007D6EA2" w:rsidRPr="004A20D6" w:rsidRDefault="007D6EA2" w:rsidP="007D6EA2">
            <w:pPr>
              <w:rPr>
                <w:rFonts w:ascii="Arial Narrow" w:hAnsi="Arial Narrow" w:cs="Calibri"/>
                <w:spacing w:val="-2"/>
                <w:sz w:val="20"/>
                <w:szCs w:val="20"/>
              </w:rPr>
            </w:pPr>
            <w:r>
              <w:rPr>
                <w:rFonts w:ascii="Arial Narrow" w:hAnsi="Arial Narrow" w:cs="Calibri"/>
                <w:spacing w:val="-2"/>
                <w:sz w:val="20"/>
                <w:szCs w:val="20"/>
              </w:rPr>
              <w:t>Presun do PO 10</w:t>
            </w:r>
          </w:p>
        </w:tc>
      </w:tr>
      <w:tr w:rsidR="007D6EA2" w:rsidRPr="004A20D6" w14:paraId="39D29FC7" w14:textId="77777777" w:rsidTr="007D6EA2">
        <w:tc>
          <w:tcPr>
            <w:tcW w:w="993" w:type="dxa"/>
            <w:vMerge/>
            <w:shd w:val="clear" w:color="auto" w:fill="auto"/>
            <w:tcMar>
              <w:top w:w="17" w:type="dxa"/>
              <w:bottom w:w="17" w:type="dxa"/>
              <w:right w:w="28" w:type="dxa"/>
            </w:tcMar>
            <w:vAlign w:val="center"/>
          </w:tcPr>
          <w:p w14:paraId="0374483B"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1F03B516"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 xml:space="preserve">7.8. </w:t>
            </w:r>
            <w:r w:rsidRPr="00BE67DE">
              <w:rPr>
                <w:rFonts w:ascii="Arial Narrow" w:hAnsi="Arial Narrow" w:cs="Calibri"/>
                <w:iCs/>
                <w:spacing w:val="-2"/>
                <w:sz w:val="20"/>
                <w:szCs w:val="20"/>
              </w:rPr>
              <w:t>Zvýšenie energetickej efektívnosti bytových domov</w:t>
            </w:r>
          </w:p>
        </w:tc>
        <w:tc>
          <w:tcPr>
            <w:tcW w:w="850" w:type="dxa"/>
            <w:shd w:val="clear" w:color="auto" w:fill="auto"/>
            <w:tcMar>
              <w:top w:w="17" w:type="dxa"/>
              <w:bottom w:w="17" w:type="dxa"/>
              <w:right w:w="28" w:type="dxa"/>
            </w:tcMar>
            <w:vAlign w:val="center"/>
          </w:tcPr>
          <w:p w14:paraId="6C46C290"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71A309A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47 800 000</w:t>
            </w:r>
          </w:p>
        </w:tc>
        <w:tc>
          <w:tcPr>
            <w:tcW w:w="1134" w:type="dxa"/>
            <w:shd w:val="clear" w:color="auto" w:fill="auto"/>
            <w:tcMar>
              <w:top w:w="17" w:type="dxa"/>
              <w:bottom w:w="17" w:type="dxa"/>
              <w:right w:w="28" w:type="dxa"/>
            </w:tcMar>
            <w:vAlign w:val="center"/>
          </w:tcPr>
          <w:p w14:paraId="16B5D82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auto" w:fill="auto"/>
            <w:tcMar>
              <w:top w:w="17" w:type="dxa"/>
              <w:bottom w:w="17" w:type="dxa"/>
              <w:right w:w="28" w:type="dxa"/>
            </w:tcMar>
            <w:vAlign w:val="center"/>
          </w:tcPr>
          <w:p w14:paraId="59334370"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47 800 000</w:t>
            </w:r>
          </w:p>
        </w:tc>
        <w:tc>
          <w:tcPr>
            <w:tcW w:w="1985" w:type="dxa"/>
            <w:vAlign w:val="center"/>
          </w:tcPr>
          <w:p w14:paraId="1EAEFAA7" w14:textId="77777777" w:rsidR="007D6EA2" w:rsidRPr="004A20D6" w:rsidRDefault="007D6EA2" w:rsidP="007D6EA2">
            <w:pPr>
              <w:rPr>
                <w:rFonts w:ascii="Arial Narrow" w:hAnsi="Arial Narrow" w:cs="Calibri"/>
                <w:spacing w:val="-2"/>
                <w:sz w:val="20"/>
                <w:szCs w:val="20"/>
              </w:rPr>
            </w:pPr>
          </w:p>
        </w:tc>
      </w:tr>
      <w:tr w:rsidR="007D6EA2" w:rsidRPr="004A20D6" w14:paraId="14A44EBA" w14:textId="77777777" w:rsidTr="00403E06">
        <w:tc>
          <w:tcPr>
            <w:tcW w:w="993" w:type="dxa"/>
            <w:vMerge/>
            <w:shd w:val="clear" w:color="auto" w:fill="auto"/>
            <w:tcMar>
              <w:top w:w="17" w:type="dxa"/>
              <w:bottom w:w="17" w:type="dxa"/>
              <w:right w:w="28" w:type="dxa"/>
            </w:tcMar>
            <w:vAlign w:val="center"/>
          </w:tcPr>
          <w:p w14:paraId="6048573A"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B8CCE4" w:themeFill="accent1" w:themeFillTint="66"/>
            <w:tcMar>
              <w:top w:w="17" w:type="dxa"/>
              <w:bottom w:w="17" w:type="dxa"/>
              <w:right w:w="28" w:type="dxa"/>
            </w:tcMar>
            <w:vAlign w:val="center"/>
          </w:tcPr>
          <w:p w14:paraId="52474647"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B8CCE4" w:themeFill="accent1" w:themeFillTint="66"/>
            <w:tcMar>
              <w:top w:w="17" w:type="dxa"/>
              <w:bottom w:w="17" w:type="dxa"/>
              <w:right w:w="28" w:type="dxa"/>
            </w:tcMar>
            <w:vAlign w:val="center"/>
          </w:tcPr>
          <w:p w14:paraId="135FF573" w14:textId="77777777" w:rsidR="007D6EA2" w:rsidRPr="004A20D6" w:rsidRDefault="007D6EA2" w:rsidP="007D6EA2">
            <w:pPr>
              <w:jc w:val="center"/>
              <w:rPr>
                <w:rFonts w:ascii="Arial Narrow" w:hAnsi="Arial Narrow" w:cs="Calibri"/>
                <w:b/>
                <w:bCs/>
                <w:color w:val="000000"/>
                <w:spacing w:val="-2"/>
                <w:sz w:val="20"/>
                <w:szCs w:val="20"/>
              </w:rPr>
            </w:pPr>
          </w:p>
        </w:tc>
        <w:tc>
          <w:tcPr>
            <w:tcW w:w="1276" w:type="dxa"/>
            <w:shd w:val="clear" w:color="auto" w:fill="B8CCE4" w:themeFill="accent1" w:themeFillTint="66"/>
            <w:tcMar>
              <w:top w:w="17" w:type="dxa"/>
              <w:bottom w:w="17" w:type="dxa"/>
              <w:right w:w="28" w:type="dxa"/>
            </w:tcMar>
            <w:vAlign w:val="center"/>
          </w:tcPr>
          <w:p w14:paraId="6358069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228 482 984</w:t>
            </w:r>
          </w:p>
        </w:tc>
        <w:tc>
          <w:tcPr>
            <w:tcW w:w="1134" w:type="dxa"/>
            <w:shd w:val="clear" w:color="auto" w:fill="B8CCE4" w:themeFill="accent1" w:themeFillTint="66"/>
            <w:tcMar>
              <w:top w:w="17" w:type="dxa"/>
              <w:bottom w:w="17" w:type="dxa"/>
              <w:right w:w="28" w:type="dxa"/>
            </w:tcMar>
            <w:vAlign w:val="center"/>
          </w:tcPr>
          <w:p w14:paraId="430158BF"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-76 366 735</w:t>
            </w:r>
          </w:p>
        </w:tc>
        <w:tc>
          <w:tcPr>
            <w:tcW w:w="1276" w:type="dxa"/>
            <w:shd w:val="clear" w:color="auto" w:fill="B8CCE4" w:themeFill="accent1" w:themeFillTint="66"/>
            <w:tcMar>
              <w:top w:w="17" w:type="dxa"/>
              <w:bottom w:w="17" w:type="dxa"/>
              <w:right w:w="28" w:type="dxa"/>
            </w:tcMar>
            <w:vAlign w:val="center"/>
          </w:tcPr>
          <w:p w14:paraId="25B67054"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152 116 249</w:t>
            </w:r>
          </w:p>
        </w:tc>
        <w:tc>
          <w:tcPr>
            <w:tcW w:w="1985" w:type="dxa"/>
            <w:shd w:val="clear" w:color="auto" w:fill="B8CCE4" w:themeFill="accent1" w:themeFillTint="66"/>
            <w:vAlign w:val="center"/>
          </w:tcPr>
          <w:p w14:paraId="6300114B" w14:textId="77777777" w:rsidR="007D6EA2" w:rsidRPr="004A20D6" w:rsidRDefault="007D6EA2" w:rsidP="007D6EA2">
            <w:pPr>
              <w:rPr>
                <w:rFonts w:ascii="Arial Narrow" w:hAnsi="Arial Narrow" w:cs="Calibri"/>
                <w:spacing w:val="-2"/>
                <w:sz w:val="20"/>
                <w:szCs w:val="20"/>
              </w:rPr>
            </w:pPr>
          </w:p>
        </w:tc>
      </w:tr>
      <w:tr w:rsidR="007D6EA2" w:rsidRPr="004A20D6" w14:paraId="0D32CF3C" w14:textId="77777777" w:rsidTr="007D6EA2">
        <w:tc>
          <w:tcPr>
            <w:tcW w:w="993" w:type="dxa"/>
            <w:vMerge w:val="restart"/>
            <w:shd w:val="clear" w:color="auto" w:fill="auto"/>
            <w:tcMar>
              <w:top w:w="17" w:type="dxa"/>
              <w:bottom w:w="17" w:type="dxa"/>
              <w:right w:w="28" w:type="dxa"/>
            </w:tcMar>
            <w:vAlign w:val="center"/>
          </w:tcPr>
          <w:p w14:paraId="7E6CFF4C"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8.</w:t>
            </w:r>
          </w:p>
          <w:p w14:paraId="368AFC9F"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Technická pomoc – REACT-EÚ</w:t>
            </w:r>
          </w:p>
        </w:tc>
        <w:tc>
          <w:tcPr>
            <w:tcW w:w="3119" w:type="dxa"/>
            <w:shd w:val="clear" w:color="auto" w:fill="auto"/>
            <w:tcMar>
              <w:top w:w="17" w:type="dxa"/>
              <w:bottom w:w="17" w:type="dxa"/>
              <w:right w:w="28" w:type="dxa"/>
            </w:tcMar>
            <w:vAlign w:val="center"/>
          </w:tcPr>
          <w:p w14:paraId="0D0A3CE7"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 xml:space="preserve">8.1. </w:t>
            </w:r>
            <w:r w:rsidRPr="00BE67DE">
              <w:rPr>
                <w:rFonts w:ascii="Arial Narrow" w:hAnsi="Arial Narrow" w:cs="Calibri"/>
                <w:iCs/>
                <w:spacing w:val="-2"/>
                <w:sz w:val="20"/>
                <w:szCs w:val="20"/>
              </w:rPr>
              <w:t>Podpora vytv</w:t>
            </w:r>
            <w:r>
              <w:rPr>
                <w:rFonts w:ascii="Arial Narrow" w:hAnsi="Arial Narrow" w:cs="Calibri"/>
                <w:iCs/>
                <w:spacing w:val="-2"/>
                <w:sz w:val="20"/>
                <w:szCs w:val="20"/>
              </w:rPr>
              <w:t>orenia regionálnych štruktúr na </w:t>
            </w:r>
            <w:r w:rsidRPr="00BE67DE">
              <w:rPr>
                <w:rFonts w:ascii="Arial Narrow" w:hAnsi="Arial Narrow" w:cs="Calibri"/>
                <w:iCs/>
                <w:spacing w:val="-2"/>
                <w:sz w:val="20"/>
                <w:szCs w:val="20"/>
              </w:rPr>
              <w:t>programové obdobie 2021 - 2027</w:t>
            </w:r>
          </w:p>
        </w:tc>
        <w:tc>
          <w:tcPr>
            <w:tcW w:w="850" w:type="dxa"/>
            <w:shd w:val="clear" w:color="auto" w:fill="auto"/>
            <w:tcMar>
              <w:top w:w="17" w:type="dxa"/>
              <w:bottom w:w="17" w:type="dxa"/>
              <w:right w:w="28" w:type="dxa"/>
            </w:tcMar>
            <w:vAlign w:val="center"/>
          </w:tcPr>
          <w:p w14:paraId="5CCF14ED"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0F62ABFB"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5 000 000</w:t>
            </w:r>
          </w:p>
        </w:tc>
        <w:tc>
          <w:tcPr>
            <w:tcW w:w="1134" w:type="dxa"/>
            <w:shd w:val="clear" w:color="auto" w:fill="auto"/>
            <w:tcMar>
              <w:top w:w="17" w:type="dxa"/>
              <w:bottom w:w="17" w:type="dxa"/>
              <w:right w:w="28" w:type="dxa"/>
            </w:tcMar>
            <w:vAlign w:val="center"/>
          </w:tcPr>
          <w:p w14:paraId="576C7487"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auto" w:fill="auto"/>
            <w:tcMar>
              <w:top w:w="17" w:type="dxa"/>
              <w:bottom w:w="17" w:type="dxa"/>
              <w:right w:w="28" w:type="dxa"/>
            </w:tcMar>
            <w:vAlign w:val="center"/>
          </w:tcPr>
          <w:p w14:paraId="76BF4FA8"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5 000 000</w:t>
            </w:r>
          </w:p>
        </w:tc>
        <w:tc>
          <w:tcPr>
            <w:tcW w:w="1985" w:type="dxa"/>
            <w:vAlign w:val="center"/>
          </w:tcPr>
          <w:p w14:paraId="245FE076" w14:textId="77777777" w:rsidR="007D6EA2" w:rsidRPr="004A20D6" w:rsidRDefault="007D6EA2" w:rsidP="007D6EA2">
            <w:pPr>
              <w:rPr>
                <w:rFonts w:ascii="Arial Narrow" w:hAnsi="Arial Narrow" w:cs="Calibri"/>
                <w:spacing w:val="-2"/>
                <w:sz w:val="20"/>
                <w:szCs w:val="20"/>
              </w:rPr>
            </w:pPr>
          </w:p>
        </w:tc>
      </w:tr>
      <w:tr w:rsidR="007D6EA2" w:rsidRPr="004A20D6" w14:paraId="74FABD6B" w14:textId="77777777" w:rsidTr="007D6EA2">
        <w:tc>
          <w:tcPr>
            <w:tcW w:w="993" w:type="dxa"/>
            <w:vMerge/>
            <w:shd w:val="clear" w:color="auto" w:fill="auto"/>
            <w:tcMar>
              <w:top w:w="17" w:type="dxa"/>
              <w:bottom w:w="17" w:type="dxa"/>
              <w:right w:w="28" w:type="dxa"/>
            </w:tcMar>
            <w:vAlign w:val="center"/>
          </w:tcPr>
          <w:p w14:paraId="7144E565"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auto"/>
            <w:tcMar>
              <w:top w:w="17" w:type="dxa"/>
              <w:bottom w:w="17" w:type="dxa"/>
              <w:right w:w="28" w:type="dxa"/>
            </w:tcMar>
            <w:vAlign w:val="center"/>
          </w:tcPr>
          <w:p w14:paraId="7B214129"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 xml:space="preserve">8.2. </w:t>
            </w:r>
            <w:r w:rsidRPr="00BE67DE">
              <w:rPr>
                <w:rFonts w:ascii="Arial Narrow" w:hAnsi="Arial Narrow" w:cs="Calibri"/>
                <w:iCs/>
                <w:spacing w:val="-2"/>
                <w:sz w:val="20"/>
                <w:szCs w:val="20"/>
              </w:rPr>
              <w:t xml:space="preserve">Podpora </w:t>
            </w:r>
            <w:r>
              <w:rPr>
                <w:rFonts w:ascii="Arial Narrow" w:hAnsi="Arial Narrow" w:cs="Calibri"/>
                <w:iCs/>
                <w:spacing w:val="-2"/>
                <w:sz w:val="20"/>
                <w:szCs w:val="20"/>
              </w:rPr>
              <w:t>existujúcich RO/SO pre IROP pri </w:t>
            </w:r>
            <w:r w:rsidRPr="00BE67DE">
              <w:rPr>
                <w:rFonts w:ascii="Arial Narrow" w:hAnsi="Arial Narrow" w:cs="Calibri"/>
                <w:iCs/>
                <w:spacing w:val="-2"/>
                <w:sz w:val="20"/>
                <w:szCs w:val="20"/>
              </w:rPr>
              <w:t>implementácii REACT-EÚ</w:t>
            </w:r>
          </w:p>
        </w:tc>
        <w:tc>
          <w:tcPr>
            <w:tcW w:w="850" w:type="dxa"/>
            <w:shd w:val="clear" w:color="auto" w:fill="auto"/>
            <w:tcMar>
              <w:top w:w="17" w:type="dxa"/>
              <w:bottom w:w="17" w:type="dxa"/>
              <w:right w:w="28" w:type="dxa"/>
            </w:tcMar>
            <w:vAlign w:val="center"/>
          </w:tcPr>
          <w:p w14:paraId="45CDAA45" w14:textId="77777777" w:rsidR="007D6EA2" w:rsidRPr="004A20D6" w:rsidRDefault="007D6EA2" w:rsidP="007D6EA2">
            <w:pPr>
              <w:jc w:val="center"/>
              <w:rPr>
                <w:rFonts w:ascii="Arial Narrow" w:hAnsi="Arial Narrow" w:cs="Calibri"/>
                <w:b/>
                <w:bCs/>
                <w:color w:val="000000"/>
                <w:spacing w:val="-2"/>
                <w:sz w:val="20"/>
                <w:szCs w:val="20"/>
              </w:rPr>
            </w:pPr>
            <w:r w:rsidRPr="004A20D6">
              <w:rPr>
                <w:rFonts w:ascii="Arial Narrow" w:hAnsi="Arial Narrow" w:cs="Calibri"/>
                <w:bCs/>
                <w:color w:val="000000"/>
                <w:spacing w:val="-2"/>
                <w:sz w:val="20"/>
                <w:szCs w:val="20"/>
              </w:rPr>
              <w:t>N/A</w:t>
            </w:r>
          </w:p>
        </w:tc>
        <w:tc>
          <w:tcPr>
            <w:tcW w:w="1276" w:type="dxa"/>
            <w:shd w:val="clear" w:color="auto" w:fill="auto"/>
            <w:tcMar>
              <w:top w:w="17" w:type="dxa"/>
              <w:bottom w:w="17" w:type="dxa"/>
              <w:right w:w="28" w:type="dxa"/>
            </w:tcMar>
            <w:vAlign w:val="center"/>
          </w:tcPr>
          <w:p w14:paraId="7E09F3F3"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2 300 000</w:t>
            </w:r>
          </w:p>
        </w:tc>
        <w:tc>
          <w:tcPr>
            <w:tcW w:w="1134" w:type="dxa"/>
            <w:shd w:val="clear" w:color="auto" w:fill="auto"/>
            <w:tcMar>
              <w:top w:w="17" w:type="dxa"/>
              <w:bottom w:w="17" w:type="dxa"/>
              <w:right w:w="28" w:type="dxa"/>
            </w:tcMar>
            <w:vAlign w:val="center"/>
          </w:tcPr>
          <w:p w14:paraId="5EE0BE2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auto" w:fill="auto"/>
            <w:tcMar>
              <w:top w:w="17" w:type="dxa"/>
              <w:bottom w:w="17" w:type="dxa"/>
              <w:right w:w="28" w:type="dxa"/>
            </w:tcMar>
            <w:vAlign w:val="center"/>
          </w:tcPr>
          <w:p w14:paraId="6EEB577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2 300 000</w:t>
            </w:r>
          </w:p>
        </w:tc>
        <w:tc>
          <w:tcPr>
            <w:tcW w:w="1985" w:type="dxa"/>
            <w:vAlign w:val="center"/>
          </w:tcPr>
          <w:p w14:paraId="55889CF8" w14:textId="77777777" w:rsidR="007D6EA2" w:rsidRPr="004A20D6" w:rsidRDefault="007D6EA2" w:rsidP="007D6EA2">
            <w:pPr>
              <w:rPr>
                <w:rFonts w:ascii="Arial Narrow" w:hAnsi="Arial Narrow" w:cs="Calibri"/>
                <w:spacing w:val="-2"/>
                <w:sz w:val="20"/>
                <w:szCs w:val="20"/>
              </w:rPr>
            </w:pPr>
          </w:p>
        </w:tc>
      </w:tr>
      <w:tr w:rsidR="007D6EA2" w:rsidRPr="004A20D6" w14:paraId="6B897087" w14:textId="77777777" w:rsidTr="00403E06">
        <w:tc>
          <w:tcPr>
            <w:tcW w:w="993" w:type="dxa"/>
            <w:vMerge/>
            <w:shd w:val="clear" w:color="auto" w:fill="auto"/>
            <w:tcMar>
              <w:top w:w="17" w:type="dxa"/>
              <w:bottom w:w="17" w:type="dxa"/>
              <w:right w:w="28" w:type="dxa"/>
            </w:tcMar>
            <w:vAlign w:val="center"/>
          </w:tcPr>
          <w:p w14:paraId="52419E37"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B8CCE4" w:themeFill="accent1" w:themeFillTint="66"/>
            <w:tcMar>
              <w:top w:w="17" w:type="dxa"/>
              <w:bottom w:w="17" w:type="dxa"/>
              <w:right w:w="28" w:type="dxa"/>
            </w:tcMar>
            <w:vAlign w:val="center"/>
          </w:tcPr>
          <w:p w14:paraId="3A5F96FF"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B8CCE4" w:themeFill="accent1" w:themeFillTint="66"/>
            <w:tcMar>
              <w:top w:w="17" w:type="dxa"/>
              <w:bottom w:w="17" w:type="dxa"/>
              <w:right w:w="28" w:type="dxa"/>
            </w:tcMar>
            <w:vAlign w:val="center"/>
          </w:tcPr>
          <w:p w14:paraId="00308783" w14:textId="77777777" w:rsidR="007D6EA2" w:rsidRPr="004A20D6" w:rsidRDefault="007D6EA2" w:rsidP="007D6EA2">
            <w:pPr>
              <w:jc w:val="center"/>
              <w:rPr>
                <w:rFonts w:ascii="Arial Narrow" w:hAnsi="Arial Narrow" w:cs="Calibri"/>
                <w:b/>
                <w:bCs/>
                <w:color w:val="000000"/>
                <w:spacing w:val="-2"/>
                <w:sz w:val="20"/>
                <w:szCs w:val="20"/>
              </w:rPr>
            </w:pPr>
          </w:p>
        </w:tc>
        <w:tc>
          <w:tcPr>
            <w:tcW w:w="1276" w:type="dxa"/>
            <w:shd w:val="clear" w:color="auto" w:fill="B8CCE4" w:themeFill="accent1" w:themeFillTint="66"/>
            <w:tcMar>
              <w:top w:w="17" w:type="dxa"/>
              <w:bottom w:w="17" w:type="dxa"/>
              <w:right w:w="28" w:type="dxa"/>
            </w:tcMar>
            <w:vAlign w:val="center"/>
          </w:tcPr>
          <w:p w14:paraId="60CB5C05"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7 300 000</w:t>
            </w:r>
          </w:p>
        </w:tc>
        <w:tc>
          <w:tcPr>
            <w:tcW w:w="1134" w:type="dxa"/>
            <w:shd w:val="clear" w:color="auto" w:fill="B8CCE4" w:themeFill="accent1" w:themeFillTint="66"/>
            <w:tcMar>
              <w:top w:w="17" w:type="dxa"/>
              <w:bottom w:w="17" w:type="dxa"/>
              <w:right w:w="28" w:type="dxa"/>
            </w:tcMar>
            <w:vAlign w:val="center"/>
          </w:tcPr>
          <w:p w14:paraId="749604D4"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0</w:t>
            </w:r>
          </w:p>
        </w:tc>
        <w:tc>
          <w:tcPr>
            <w:tcW w:w="1276" w:type="dxa"/>
            <w:shd w:val="clear" w:color="auto" w:fill="B8CCE4" w:themeFill="accent1" w:themeFillTint="66"/>
            <w:tcMar>
              <w:top w:w="17" w:type="dxa"/>
              <w:bottom w:w="17" w:type="dxa"/>
              <w:right w:w="28" w:type="dxa"/>
            </w:tcMar>
            <w:vAlign w:val="center"/>
          </w:tcPr>
          <w:p w14:paraId="3A443F83"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7 300 000</w:t>
            </w:r>
          </w:p>
        </w:tc>
        <w:tc>
          <w:tcPr>
            <w:tcW w:w="1985" w:type="dxa"/>
            <w:shd w:val="clear" w:color="auto" w:fill="B8CCE4" w:themeFill="accent1" w:themeFillTint="66"/>
            <w:vAlign w:val="center"/>
          </w:tcPr>
          <w:p w14:paraId="6745603A" w14:textId="77777777" w:rsidR="007D6EA2" w:rsidRPr="004A20D6" w:rsidRDefault="007D6EA2" w:rsidP="007D6EA2">
            <w:pPr>
              <w:rPr>
                <w:rFonts w:ascii="Arial Narrow" w:hAnsi="Arial Narrow" w:cs="Calibri"/>
                <w:spacing w:val="-2"/>
                <w:sz w:val="20"/>
                <w:szCs w:val="20"/>
              </w:rPr>
            </w:pPr>
          </w:p>
        </w:tc>
      </w:tr>
      <w:tr w:rsidR="007D6EA2" w:rsidRPr="004A20D6" w14:paraId="3BE97506" w14:textId="77777777" w:rsidTr="007D6EA2">
        <w:tc>
          <w:tcPr>
            <w:tcW w:w="993" w:type="dxa"/>
            <w:vMerge w:val="restart"/>
            <w:shd w:val="clear" w:color="auto" w:fill="auto"/>
            <w:tcMar>
              <w:top w:w="17" w:type="dxa"/>
              <w:bottom w:w="17" w:type="dxa"/>
              <w:right w:w="28" w:type="dxa"/>
            </w:tcMar>
            <w:vAlign w:val="center"/>
          </w:tcPr>
          <w:p w14:paraId="12AED49F"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lastRenderedPageBreak/>
              <w:t xml:space="preserve">9. </w:t>
            </w:r>
            <w:r>
              <w:rPr>
                <w:rFonts w:ascii="Arial Narrow" w:hAnsi="Arial Narrow" w:cs="Calibri"/>
                <w:b/>
                <w:bCs/>
                <w:color w:val="000000"/>
                <w:spacing w:val="-2"/>
                <w:sz w:val="20"/>
                <w:szCs w:val="20"/>
              </w:rPr>
              <w:t>FAST</w:t>
            </w:r>
          </w:p>
          <w:p w14:paraId="581F88B0"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CARE</w:t>
            </w:r>
          </w:p>
        </w:tc>
        <w:tc>
          <w:tcPr>
            <w:tcW w:w="3119" w:type="dxa"/>
            <w:vMerge w:val="restart"/>
            <w:shd w:val="clear" w:color="auto" w:fill="auto"/>
            <w:tcMar>
              <w:top w:w="17" w:type="dxa"/>
              <w:bottom w:w="17" w:type="dxa"/>
              <w:right w:w="28" w:type="dxa"/>
            </w:tcMar>
            <w:vAlign w:val="center"/>
          </w:tcPr>
          <w:p w14:paraId="4CCBB93B" w14:textId="77777777" w:rsidR="007D6EA2" w:rsidRPr="00BE67DE" w:rsidRDefault="007D6EA2" w:rsidP="007D6EA2">
            <w:pPr>
              <w:rPr>
                <w:rFonts w:ascii="Arial Narrow" w:hAnsi="Arial Narrow" w:cs="Calibri"/>
                <w:spacing w:val="-2"/>
                <w:sz w:val="20"/>
                <w:szCs w:val="20"/>
              </w:rPr>
            </w:pPr>
            <w:r w:rsidRPr="00BE67DE">
              <w:rPr>
                <w:rFonts w:ascii="Arial Narrow" w:hAnsi="Arial Narrow" w:cs="Calibri"/>
                <w:spacing w:val="-2"/>
                <w:sz w:val="20"/>
                <w:szCs w:val="20"/>
              </w:rPr>
              <w:t>9.1</w:t>
            </w:r>
            <w:r>
              <w:rPr>
                <w:rFonts w:ascii="Arial Narrow" w:hAnsi="Arial Narrow" w:cs="Calibri"/>
                <w:spacing w:val="-2"/>
                <w:sz w:val="20"/>
                <w:szCs w:val="20"/>
              </w:rPr>
              <w:t>.</w:t>
            </w:r>
            <w:r w:rsidRPr="00BE67DE">
              <w:rPr>
                <w:rFonts w:ascii="Arial Narrow" w:hAnsi="Arial Narrow" w:cs="Calibri"/>
                <w:spacing w:val="-2"/>
                <w:sz w:val="20"/>
                <w:szCs w:val="20"/>
              </w:rPr>
              <w:t xml:space="preserve"> Riešenie migračných výziev v dôsledku vojenskej agresie</w:t>
            </w:r>
          </w:p>
        </w:tc>
        <w:tc>
          <w:tcPr>
            <w:tcW w:w="850" w:type="dxa"/>
            <w:shd w:val="clear" w:color="auto" w:fill="auto"/>
            <w:tcMar>
              <w:top w:w="17" w:type="dxa"/>
              <w:bottom w:w="17" w:type="dxa"/>
              <w:right w:w="28" w:type="dxa"/>
            </w:tcMar>
            <w:vAlign w:val="center"/>
          </w:tcPr>
          <w:p w14:paraId="3E8DD87C" w14:textId="77777777" w:rsidR="007D6EA2" w:rsidRPr="004A20D6" w:rsidRDefault="007D6EA2" w:rsidP="007D6EA2">
            <w:pPr>
              <w:jc w:val="center"/>
              <w:rPr>
                <w:rFonts w:ascii="Arial Narrow" w:hAnsi="Arial Narrow" w:cs="Calibri"/>
                <w:spacing w:val="-2"/>
                <w:sz w:val="20"/>
                <w:szCs w:val="20"/>
              </w:rPr>
            </w:pPr>
            <w:r w:rsidRPr="004A20D6">
              <w:rPr>
                <w:rFonts w:ascii="Arial Narrow" w:hAnsi="Arial Narrow" w:cs="Calibri"/>
                <w:spacing w:val="-2"/>
                <w:sz w:val="20"/>
                <w:szCs w:val="20"/>
              </w:rPr>
              <w:t>MRR</w:t>
            </w:r>
          </w:p>
        </w:tc>
        <w:tc>
          <w:tcPr>
            <w:tcW w:w="1276" w:type="dxa"/>
            <w:shd w:val="clear" w:color="auto" w:fill="auto"/>
            <w:tcMar>
              <w:top w:w="17" w:type="dxa"/>
              <w:bottom w:w="17" w:type="dxa"/>
              <w:right w:w="28" w:type="dxa"/>
            </w:tcMar>
            <w:vAlign w:val="center"/>
          </w:tcPr>
          <w:p w14:paraId="62B6F4E5"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236 830 444</w:t>
            </w:r>
          </w:p>
        </w:tc>
        <w:tc>
          <w:tcPr>
            <w:tcW w:w="1134" w:type="dxa"/>
            <w:shd w:val="clear" w:color="auto" w:fill="auto"/>
            <w:tcMar>
              <w:top w:w="17" w:type="dxa"/>
              <w:bottom w:w="17" w:type="dxa"/>
              <w:right w:w="28" w:type="dxa"/>
            </w:tcMar>
            <w:vAlign w:val="center"/>
          </w:tcPr>
          <w:p w14:paraId="1FDDEBF4"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1FB1C5A9"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236 830 444</w:t>
            </w:r>
          </w:p>
        </w:tc>
        <w:tc>
          <w:tcPr>
            <w:tcW w:w="1985" w:type="dxa"/>
            <w:vAlign w:val="center"/>
          </w:tcPr>
          <w:p w14:paraId="01F8ABF5" w14:textId="77777777" w:rsidR="007D6EA2" w:rsidRPr="004A20D6" w:rsidRDefault="007D6EA2" w:rsidP="007D6EA2">
            <w:pPr>
              <w:rPr>
                <w:rFonts w:ascii="Arial Narrow" w:hAnsi="Arial Narrow" w:cs="Calibri"/>
                <w:spacing w:val="-2"/>
                <w:sz w:val="20"/>
                <w:szCs w:val="20"/>
              </w:rPr>
            </w:pPr>
          </w:p>
        </w:tc>
      </w:tr>
      <w:tr w:rsidR="007D6EA2" w:rsidRPr="004A20D6" w14:paraId="777E6363" w14:textId="77777777" w:rsidTr="007D6EA2">
        <w:tc>
          <w:tcPr>
            <w:tcW w:w="993" w:type="dxa"/>
            <w:vMerge/>
            <w:shd w:val="clear" w:color="auto" w:fill="auto"/>
            <w:tcMar>
              <w:top w:w="17" w:type="dxa"/>
              <w:bottom w:w="17" w:type="dxa"/>
              <w:right w:w="28" w:type="dxa"/>
            </w:tcMar>
            <w:vAlign w:val="center"/>
          </w:tcPr>
          <w:p w14:paraId="063B48AB" w14:textId="77777777" w:rsidR="007D6EA2" w:rsidRPr="004A20D6" w:rsidRDefault="007D6EA2" w:rsidP="007D6EA2">
            <w:pPr>
              <w:rPr>
                <w:rFonts w:ascii="Arial Narrow" w:hAnsi="Arial Narrow" w:cs="Calibri"/>
                <w:b/>
                <w:bCs/>
                <w:color w:val="000000"/>
                <w:spacing w:val="-2"/>
                <w:sz w:val="20"/>
                <w:szCs w:val="20"/>
              </w:rPr>
            </w:pPr>
          </w:p>
        </w:tc>
        <w:tc>
          <w:tcPr>
            <w:tcW w:w="3119" w:type="dxa"/>
            <w:vMerge/>
            <w:shd w:val="clear" w:color="auto" w:fill="auto"/>
            <w:tcMar>
              <w:top w:w="17" w:type="dxa"/>
              <w:bottom w:w="17" w:type="dxa"/>
              <w:right w:w="28" w:type="dxa"/>
            </w:tcMar>
            <w:vAlign w:val="center"/>
          </w:tcPr>
          <w:p w14:paraId="2B5F784D" w14:textId="77777777" w:rsidR="007D6EA2" w:rsidRPr="00BE67DE" w:rsidRDefault="007D6EA2" w:rsidP="007D6EA2">
            <w:pPr>
              <w:rPr>
                <w:rFonts w:ascii="Arial Narrow" w:hAnsi="Arial Narrow" w:cs="Calibri"/>
                <w:spacing w:val="-2"/>
                <w:sz w:val="20"/>
                <w:szCs w:val="20"/>
              </w:rPr>
            </w:pPr>
          </w:p>
        </w:tc>
        <w:tc>
          <w:tcPr>
            <w:tcW w:w="850" w:type="dxa"/>
            <w:shd w:val="clear" w:color="auto" w:fill="auto"/>
            <w:tcMar>
              <w:top w:w="17" w:type="dxa"/>
              <w:bottom w:w="17" w:type="dxa"/>
              <w:right w:w="28" w:type="dxa"/>
            </w:tcMar>
            <w:vAlign w:val="center"/>
          </w:tcPr>
          <w:p w14:paraId="0896F3F3" w14:textId="77777777" w:rsidR="007D6EA2" w:rsidRPr="004A20D6" w:rsidRDefault="007D6EA2" w:rsidP="007D6EA2">
            <w:pPr>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shd w:val="clear" w:color="auto" w:fill="auto"/>
            <w:tcMar>
              <w:top w:w="17" w:type="dxa"/>
              <w:bottom w:w="17" w:type="dxa"/>
              <w:right w:w="28" w:type="dxa"/>
            </w:tcMar>
            <w:vAlign w:val="center"/>
          </w:tcPr>
          <w:p w14:paraId="221959D1"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7 184 012</w:t>
            </w:r>
          </w:p>
        </w:tc>
        <w:tc>
          <w:tcPr>
            <w:tcW w:w="1134" w:type="dxa"/>
            <w:shd w:val="clear" w:color="auto" w:fill="auto"/>
            <w:tcMar>
              <w:top w:w="17" w:type="dxa"/>
              <w:bottom w:w="17" w:type="dxa"/>
              <w:right w:w="28" w:type="dxa"/>
            </w:tcMar>
            <w:vAlign w:val="center"/>
          </w:tcPr>
          <w:p w14:paraId="419764AB"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auto"/>
            <w:tcMar>
              <w:top w:w="17" w:type="dxa"/>
              <w:bottom w:w="17" w:type="dxa"/>
              <w:right w:w="28" w:type="dxa"/>
            </w:tcMar>
            <w:vAlign w:val="center"/>
          </w:tcPr>
          <w:p w14:paraId="67FDC15F"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7 184 012</w:t>
            </w:r>
          </w:p>
        </w:tc>
        <w:tc>
          <w:tcPr>
            <w:tcW w:w="1985" w:type="dxa"/>
            <w:vAlign w:val="center"/>
          </w:tcPr>
          <w:p w14:paraId="0CF03DC5" w14:textId="77777777" w:rsidR="007D6EA2" w:rsidRPr="00093EE8" w:rsidRDefault="007D6EA2" w:rsidP="007D6EA2">
            <w:pPr>
              <w:rPr>
                <w:rFonts w:ascii="Arial Narrow" w:hAnsi="Arial Narrow" w:cs="Calibri"/>
                <w:spacing w:val="-2"/>
                <w:sz w:val="20"/>
                <w:szCs w:val="20"/>
              </w:rPr>
            </w:pPr>
          </w:p>
        </w:tc>
      </w:tr>
      <w:tr w:rsidR="007D6EA2" w:rsidRPr="004A20D6" w14:paraId="5BE72DE8" w14:textId="77777777" w:rsidTr="00403E06">
        <w:tc>
          <w:tcPr>
            <w:tcW w:w="993" w:type="dxa"/>
            <w:vMerge/>
            <w:shd w:val="clear" w:color="auto" w:fill="auto"/>
            <w:tcMar>
              <w:top w:w="17" w:type="dxa"/>
              <w:bottom w:w="17" w:type="dxa"/>
              <w:right w:w="28" w:type="dxa"/>
            </w:tcMar>
            <w:vAlign w:val="center"/>
          </w:tcPr>
          <w:p w14:paraId="46B7CF57" w14:textId="77777777" w:rsidR="007D6EA2" w:rsidRPr="004A20D6" w:rsidRDefault="007D6EA2" w:rsidP="007D6EA2">
            <w:pPr>
              <w:rPr>
                <w:rFonts w:ascii="Arial Narrow" w:hAnsi="Arial Narrow" w:cs="Calibri"/>
                <w:b/>
                <w:bCs/>
                <w:color w:val="000000"/>
                <w:spacing w:val="-2"/>
                <w:sz w:val="20"/>
                <w:szCs w:val="20"/>
              </w:rPr>
            </w:pPr>
          </w:p>
        </w:tc>
        <w:tc>
          <w:tcPr>
            <w:tcW w:w="3119" w:type="dxa"/>
            <w:shd w:val="clear" w:color="auto" w:fill="B8CCE4" w:themeFill="accent1" w:themeFillTint="66"/>
            <w:tcMar>
              <w:top w:w="17" w:type="dxa"/>
              <w:bottom w:w="17" w:type="dxa"/>
              <w:right w:w="28" w:type="dxa"/>
            </w:tcMar>
            <w:vAlign w:val="center"/>
          </w:tcPr>
          <w:p w14:paraId="149A188C"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B8CCE4" w:themeFill="accent1" w:themeFillTint="66"/>
            <w:tcMar>
              <w:top w:w="17" w:type="dxa"/>
              <w:bottom w:w="17" w:type="dxa"/>
              <w:right w:w="28" w:type="dxa"/>
            </w:tcMar>
            <w:vAlign w:val="center"/>
          </w:tcPr>
          <w:p w14:paraId="76AC6176" w14:textId="77777777" w:rsidR="007D6EA2" w:rsidRPr="004A20D6" w:rsidRDefault="007D6EA2" w:rsidP="007D6EA2">
            <w:pPr>
              <w:jc w:val="center"/>
              <w:rPr>
                <w:rFonts w:ascii="Arial Narrow" w:hAnsi="Arial Narrow" w:cs="Calibri"/>
                <w:spacing w:val="-2"/>
                <w:sz w:val="20"/>
                <w:szCs w:val="20"/>
              </w:rPr>
            </w:pPr>
          </w:p>
        </w:tc>
        <w:tc>
          <w:tcPr>
            <w:tcW w:w="1276" w:type="dxa"/>
            <w:shd w:val="clear" w:color="auto" w:fill="B8CCE4" w:themeFill="accent1" w:themeFillTint="66"/>
            <w:tcMar>
              <w:top w:w="17" w:type="dxa"/>
              <w:bottom w:w="17" w:type="dxa"/>
              <w:right w:w="28" w:type="dxa"/>
            </w:tcMar>
            <w:vAlign w:val="center"/>
          </w:tcPr>
          <w:p w14:paraId="4E23EB52"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244 014 456</w:t>
            </w:r>
          </w:p>
        </w:tc>
        <w:tc>
          <w:tcPr>
            <w:tcW w:w="1134" w:type="dxa"/>
            <w:shd w:val="clear" w:color="auto" w:fill="B8CCE4" w:themeFill="accent1" w:themeFillTint="66"/>
            <w:tcMar>
              <w:top w:w="17" w:type="dxa"/>
              <w:bottom w:w="17" w:type="dxa"/>
              <w:right w:w="28" w:type="dxa"/>
            </w:tcMar>
            <w:vAlign w:val="center"/>
          </w:tcPr>
          <w:p w14:paraId="53078194"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276" w:type="dxa"/>
            <w:shd w:val="clear" w:color="auto" w:fill="B8CCE4" w:themeFill="accent1" w:themeFillTint="66"/>
            <w:tcMar>
              <w:top w:w="17" w:type="dxa"/>
              <w:bottom w:w="17" w:type="dxa"/>
              <w:right w:w="28" w:type="dxa"/>
            </w:tcMar>
            <w:vAlign w:val="center"/>
          </w:tcPr>
          <w:p w14:paraId="6202EDF8" w14:textId="77777777" w:rsidR="007D6EA2" w:rsidRPr="004A20D6" w:rsidRDefault="007D6EA2" w:rsidP="007D6EA2">
            <w:pPr>
              <w:ind w:right="28"/>
              <w:jc w:val="right"/>
              <w:rPr>
                <w:rFonts w:ascii="Arial Narrow" w:hAnsi="Arial Narrow" w:cs="Calibri"/>
                <w:spacing w:val="-2"/>
                <w:sz w:val="20"/>
                <w:szCs w:val="20"/>
              </w:rPr>
            </w:pPr>
            <w:r w:rsidRPr="00EB1889">
              <w:rPr>
                <w:rFonts w:ascii="Arial Narrow" w:hAnsi="Arial Narrow" w:cs="Calibri"/>
                <w:color w:val="000000"/>
                <w:spacing w:val="-2"/>
                <w:sz w:val="20"/>
                <w:szCs w:val="20"/>
              </w:rPr>
              <w:t>244 014 456</w:t>
            </w:r>
          </w:p>
        </w:tc>
        <w:tc>
          <w:tcPr>
            <w:tcW w:w="1985" w:type="dxa"/>
            <w:shd w:val="clear" w:color="auto" w:fill="B8CCE4" w:themeFill="accent1" w:themeFillTint="66"/>
            <w:vAlign w:val="center"/>
          </w:tcPr>
          <w:p w14:paraId="25702FD1" w14:textId="77777777" w:rsidR="007D6EA2" w:rsidRPr="004A20D6" w:rsidRDefault="007D6EA2" w:rsidP="007D6EA2">
            <w:pPr>
              <w:rPr>
                <w:rFonts w:ascii="Arial Narrow" w:hAnsi="Arial Narrow" w:cs="Calibri"/>
                <w:spacing w:val="-2"/>
                <w:sz w:val="20"/>
                <w:szCs w:val="20"/>
              </w:rPr>
            </w:pPr>
          </w:p>
        </w:tc>
      </w:tr>
      <w:tr w:rsidR="007D6EA2" w:rsidRPr="004A20D6" w14:paraId="0F8886BA" w14:textId="77777777" w:rsidTr="007D6EA2">
        <w:trPr>
          <w:trHeight w:val="981"/>
        </w:trPr>
        <w:tc>
          <w:tcPr>
            <w:tcW w:w="993" w:type="dxa"/>
            <w:vMerge w:val="restart"/>
            <w:shd w:val="clear" w:color="auto" w:fill="auto"/>
            <w:tcMar>
              <w:top w:w="17" w:type="dxa"/>
              <w:bottom w:w="17" w:type="dxa"/>
              <w:right w:w="28" w:type="dxa"/>
            </w:tcMar>
            <w:vAlign w:val="center"/>
          </w:tcPr>
          <w:p w14:paraId="4ED8F3F9" w14:textId="77777777" w:rsidR="007D6EA2" w:rsidRDefault="007D6EA2" w:rsidP="007D6EA2">
            <w:pPr>
              <w:rPr>
                <w:rFonts w:ascii="Arial Narrow" w:hAnsi="Arial Narrow" w:cs="Calibri"/>
                <w:b/>
                <w:bCs/>
                <w:spacing w:val="-2"/>
                <w:sz w:val="20"/>
                <w:szCs w:val="20"/>
              </w:rPr>
            </w:pPr>
            <w:r>
              <w:rPr>
                <w:rFonts w:ascii="Arial Narrow" w:hAnsi="Arial Narrow" w:cs="Calibri"/>
                <w:b/>
                <w:bCs/>
                <w:color w:val="000000"/>
                <w:spacing w:val="-2"/>
                <w:sz w:val="20"/>
                <w:szCs w:val="20"/>
              </w:rPr>
              <w:t>10</w:t>
            </w:r>
            <w:r w:rsidRPr="004A20D6">
              <w:rPr>
                <w:rFonts w:ascii="Arial Narrow" w:hAnsi="Arial Narrow" w:cs="Calibri"/>
                <w:b/>
                <w:bCs/>
                <w:color w:val="000000"/>
                <w:spacing w:val="-2"/>
                <w:sz w:val="20"/>
                <w:szCs w:val="20"/>
              </w:rPr>
              <w:t>.</w:t>
            </w:r>
          </w:p>
          <w:p w14:paraId="7414775D" w14:textId="77777777" w:rsidR="007D6EA2" w:rsidRPr="004A20D6" w:rsidRDefault="007D6EA2" w:rsidP="007D6EA2">
            <w:pPr>
              <w:rPr>
                <w:rFonts w:ascii="Arial Narrow" w:hAnsi="Arial Narrow" w:cs="Calibri"/>
                <w:b/>
                <w:bCs/>
                <w:color w:val="000000"/>
                <w:spacing w:val="-2"/>
                <w:sz w:val="20"/>
                <w:szCs w:val="20"/>
              </w:rPr>
            </w:pPr>
            <w:r w:rsidRPr="005B2C4F">
              <w:rPr>
                <w:rFonts w:ascii="Arial Narrow" w:hAnsi="Arial Narrow" w:cs="Calibri"/>
                <w:b/>
                <w:bCs/>
                <w:spacing w:val="-2"/>
                <w:sz w:val="20"/>
                <w:szCs w:val="20"/>
              </w:rPr>
              <w:t xml:space="preserve">Podpora pre zmiernenie dôsledkov energetickej krízy - </w:t>
            </w:r>
            <w:r>
              <w:rPr>
                <w:rFonts w:ascii="Arial Narrow" w:hAnsi="Arial Narrow" w:cs="Calibri"/>
                <w:b/>
                <w:bCs/>
                <w:color w:val="000000"/>
                <w:spacing w:val="-2"/>
                <w:sz w:val="20"/>
                <w:szCs w:val="20"/>
              </w:rPr>
              <w:t>SAFE</w:t>
            </w:r>
          </w:p>
        </w:tc>
        <w:tc>
          <w:tcPr>
            <w:tcW w:w="3119" w:type="dxa"/>
            <w:shd w:val="clear" w:color="auto" w:fill="auto"/>
            <w:tcMar>
              <w:top w:w="17" w:type="dxa"/>
              <w:bottom w:w="17" w:type="dxa"/>
              <w:right w:w="28" w:type="dxa"/>
            </w:tcMar>
            <w:vAlign w:val="center"/>
          </w:tcPr>
          <w:p w14:paraId="503417CE" w14:textId="77777777" w:rsidR="007D6EA2" w:rsidRPr="000B6C08" w:rsidRDefault="007D6EA2" w:rsidP="007D6EA2">
            <w:pPr>
              <w:rPr>
                <w:rFonts w:ascii="Arial Narrow" w:hAnsi="Arial Narrow" w:cs="Calibri"/>
                <w:spacing w:val="-2"/>
                <w:sz w:val="20"/>
                <w:szCs w:val="20"/>
              </w:rPr>
            </w:pPr>
            <w:r>
              <w:rPr>
                <w:rFonts w:ascii="Arial Narrow" w:hAnsi="Arial Narrow" w:cs="Calibri"/>
                <w:spacing w:val="-2"/>
                <w:sz w:val="20"/>
                <w:szCs w:val="20"/>
              </w:rPr>
              <w:t xml:space="preserve">11.1. </w:t>
            </w:r>
            <w:r w:rsidRPr="005B2C4F">
              <w:rPr>
                <w:rFonts w:ascii="Arial Narrow" w:hAnsi="Arial Narrow" w:cs="Calibri"/>
                <w:iCs/>
                <w:spacing w:val="-2"/>
                <w:sz w:val="20"/>
                <w:szCs w:val="20"/>
              </w:rPr>
              <w:t>Zníženie negatívnych dôsledkov energetickej krízy na ohrozené skupiny</w:t>
            </w:r>
          </w:p>
        </w:tc>
        <w:tc>
          <w:tcPr>
            <w:tcW w:w="850" w:type="dxa"/>
            <w:shd w:val="clear" w:color="auto" w:fill="auto"/>
            <w:tcMar>
              <w:top w:w="17" w:type="dxa"/>
              <w:bottom w:w="17" w:type="dxa"/>
              <w:right w:w="28" w:type="dxa"/>
            </w:tcMar>
            <w:vAlign w:val="center"/>
          </w:tcPr>
          <w:p w14:paraId="79821EC3" w14:textId="77777777" w:rsidR="007D6EA2" w:rsidRPr="000B6C08" w:rsidRDefault="007D6EA2" w:rsidP="007D6EA2">
            <w:pPr>
              <w:jc w:val="center"/>
              <w:rPr>
                <w:rFonts w:ascii="Arial Narrow" w:hAnsi="Arial Narrow" w:cs="Calibri"/>
                <w:spacing w:val="-2"/>
                <w:sz w:val="20"/>
                <w:szCs w:val="20"/>
              </w:rPr>
            </w:pPr>
            <w:r>
              <w:rPr>
                <w:rFonts w:ascii="Arial Narrow" w:hAnsi="Arial Narrow" w:cs="Calibri"/>
                <w:spacing w:val="-2"/>
                <w:sz w:val="20"/>
                <w:szCs w:val="20"/>
              </w:rPr>
              <w:t>N/A</w:t>
            </w:r>
          </w:p>
        </w:tc>
        <w:tc>
          <w:tcPr>
            <w:tcW w:w="1276" w:type="dxa"/>
            <w:shd w:val="clear" w:color="auto" w:fill="auto"/>
            <w:tcMar>
              <w:top w:w="17" w:type="dxa"/>
              <w:bottom w:w="17" w:type="dxa"/>
              <w:right w:w="28" w:type="dxa"/>
            </w:tcMar>
            <w:vAlign w:val="center"/>
          </w:tcPr>
          <w:p w14:paraId="0FE31262" w14:textId="77777777" w:rsidR="007D6EA2" w:rsidRPr="000B6C08"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134" w:type="dxa"/>
            <w:shd w:val="clear" w:color="auto" w:fill="auto"/>
            <w:tcMar>
              <w:top w:w="17" w:type="dxa"/>
              <w:bottom w:w="17" w:type="dxa"/>
              <w:right w:w="28" w:type="dxa"/>
            </w:tcMar>
            <w:vAlign w:val="center"/>
          </w:tcPr>
          <w:p w14:paraId="1544F0AD" w14:textId="77777777" w:rsidR="007D6EA2" w:rsidRPr="000B6C08" w:rsidRDefault="007D6EA2" w:rsidP="007D6EA2">
            <w:pPr>
              <w:ind w:right="28"/>
              <w:jc w:val="right"/>
              <w:rPr>
                <w:rFonts w:ascii="Arial Narrow" w:hAnsi="Arial Narrow" w:cs="Calibri"/>
                <w:color w:val="000000"/>
                <w:spacing w:val="-2"/>
                <w:sz w:val="20"/>
                <w:szCs w:val="20"/>
              </w:rPr>
            </w:pPr>
            <w:r>
              <w:rPr>
                <w:rFonts w:ascii="Arial Narrow" w:hAnsi="Arial Narrow" w:cs="Calibri"/>
                <w:color w:val="000000"/>
                <w:spacing w:val="-2"/>
                <w:sz w:val="20"/>
                <w:szCs w:val="20"/>
              </w:rPr>
              <w:t>+76 366 735</w:t>
            </w:r>
          </w:p>
        </w:tc>
        <w:tc>
          <w:tcPr>
            <w:tcW w:w="1276" w:type="dxa"/>
            <w:shd w:val="clear" w:color="auto" w:fill="auto"/>
            <w:tcMar>
              <w:top w:w="17" w:type="dxa"/>
              <w:bottom w:w="17" w:type="dxa"/>
              <w:right w:w="28" w:type="dxa"/>
            </w:tcMar>
            <w:vAlign w:val="center"/>
          </w:tcPr>
          <w:p w14:paraId="10D1E3BC" w14:textId="77777777" w:rsidR="007D6EA2" w:rsidRPr="000B6C08" w:rsidRDefault="007D6EA2" w:rsidP="007D6EA2">
            <w:pPr>
              <w:ind w:right="28"/>
              <w:jc w:val="right"/>
              <w:rPr>
                <w:rFonts w:ascii="Arial Narrow" w:hAnsi="Arial Narrow" w:cs="Calibri"/>
                <w:color w:val="000000"/>
                <w:spacing w:val="-2"/>
                <w:sz w:val="20"/>
                <w:szCs w:val="20"/>
              </w:rPr>
            </w:pPr>
            <w:r>
              <w:rPr>
                <w:rFonts w:ascii="Arial Narrow" w:hAnsi="Arial Narrow" w:cs="Calibri"/>
                <w:color w:val="000000"/>
                <w:spacing w:val="-2"/>
                <w:sz w:val="20"/>
                <w:szCs w:val="20"/>
              </w:rPr>
              <w:t>76 366 735</w:t>
            </w:r>
          </w:p>
        </w:tc>
        <w:tc>
          <w:tcPr>
            <w:tcW w:w="1985" w:type="dxa"/>
            <w:shd w:val="clear" w:color="auto" w:fill="auto"/>
            <w:vAlign w:val="center"/>
          </w:tcPr>
          <w:p w14:paraId="5F1A5054" w14:textId="77777777" w:rsidR="007D6EA2" w:rsidRPr="000B6C08" w:rsidRDefault="007D6EA2" w:rsidP="007D6EA2">
            <w:pPr>
              <w:rPr>
                <w:rFonts w:ascii="Arial Narrow" w:hAnsi="Arial Narrow" w:cs="Calibri"/>
                <w:spacing w:val="-2"/>
                <w:sz w:val="20"/>
                <w:szCs w:val="20"/>
              </w:rPr>
            </w:pPr>
            <w:r>
              <w:rPr>
                <w:rFonts w:ascii="Arial Narrow" w:hAnsi="Arial Narrow" w:cs="Calibri"/>
                <w:spacing w:val="-2"/>
                <w:sz w:val="20"/>
                <w:szCs w:val="20"/>
              </w:rPr>
              <w:t>Presun z PO7</w:t>
            </w:r>
          </w:p>
        </w:tc>
      </w:tr>
      <w:tr w:rsidR="007D6EA2" w:rsidRPr="004A20D6" w14:paraId="2498BA0B" w14:textId="77777777" w:rsidTr="007D6EA2">
        <w:tc>
          <w:tcPr>
            <w:tcW w:w="993" w:type="dxa"/>
            <w:vMerge/>
            <w:shd w:val="clear" w:color="auto" w:fill="auto"/>
            <w:tcMar>
              <w:top w:w="17" w:type="dxa"/>
              <w:bottom w:w="17" w:type="dxa"/>
              <w:right w:w="28" w:type="dxa"/>
            </w:tcMar>
            <w:vAlign w:val="center"/>
          </w:tcPr>
          <w:p w14:paraId="03A549BE" w14:textId="77777777" w:rsidR="007D6EA2" w:rsidRDefault="007D6EA2" w:rsidP="007D6EA2">
            <w:pPr>
              <w:rPr>
                <w:rFonts w:ascii="Arial Narrow" w:hAnsi="Arial Narrow" w:cs="Calibri"/>
                <w:b/>
                <w:bCs/>
                <w:color w:val="000000"/>
                <w:spacing w:val="-2"/>
                <w:sz w:val="20"/>
                <w:szCs w:val="20"/>
              </w:rPr>
            </w:pPr>
          </w:p>
        </w:tc>
        <w:tc>
          <w:tcPr>
            <w:tcW w:w="3119" w:type="dxa"/>
            <w:shd w:val="clear" w:color="auto" w:fill="95B3D7" w:themeFill="accent1" w:themeFillTint="99"/>
            <w:tcMar>
              <w:top w:w="17" w:type="dxa"/>
              <w:bottom w:w="17" w:type="dxa"/>
              <w:right w:w="28" w:type="dxa"/>
            </w:tcMar>
            <w:vAlign w:val="center"/>
          </w:tcPr>
          <w:p w14:paraId="770AAC07" w14:textId="77777777" w:rsidR="007D6EA2" w:rsidRDefault="007D6EA2" w:rsidP="007D6EA2">
            <w:pPr>
              <w:rPr>
                <w:rFonts w:ascii="Arial Narrow" w:hAnsi="Arial Narrow" w:cs="Calibri"/>
                <w:spacing w:val="-2"/>
                <w:sz w:val="20"/>
                <w:szCs w:val="20"/>
              </w:rPr>
            </w:pPr>
            <w:r w:rsidRPr="00BE67DE">
              <w:rPr>
                <w:rFonts w:ascii="Arial Narrow" w:hAnsi="Arial Narrow" w:cs="Calibri"/>
                <w:b/>
                <w:bCs/>
                <w:color w:val="000000"/>
                <w:spacing w:val="-2"/>
                <w:sz w:val="20"/>
                <w:szCs w:val="20"/>
              </w:rPr>
              <w:t>Spolu za PO</w:t>
            </w:r>
          </w:p>
        </w:tc>
        <w:tc>
          <w:tcPr>
            <w:tcW w:w="850" w:type="dxa"/>
            <w:shd w:val="clear" w:color="auto" w:fill="95B3D7" w:themeFill="accent1" w:themeFillTint="99"/>
            <w:tcMar>
              <w:top w:w="17" w:type="dxa"/>
              <w:bottom w:w="17" w:type="dxa"/>
              <w:right w:w="28" w:type="dxa"/>
            </w:tcMar>
            <w:vAlign w:val="center"/>
          </w:tcPr>
          <w:p w14:paraId="6F76769C" w14:textId="77777777" w:rsidR="007D6EA2" w:rsidRDefault="007D6EA2" w:rsidP="007D6EA2">
            <w:pPr>
              <w:jc w:val="center"/>
              <w:rPr>
                <w:rFonts w:ascii="Arial Narrow" w:hAnsi="Arial Narrow" w:cs="Calibri"/>
                <w:spacing w:val="-2"/>
                <w:sz w:val="20"/>
                <w:szCs w:val="20"/>
              </w:rPr>
            </w:pPr>
            <w:r w:rsidRPr="004A20D6">
              <w:rPr>
                <w:rFonts w:ascii="Arial Narrow" w:hAnsi="Arial Narrow" w:cs="Calibri"/>
                <w:color w:val="000000"/>
                <w:spacing w:val="-2"/>
                <w:sz w:val="20"/>
                <w:szCs w:val="20"/>
              </w:rPr>
              <w:t> </w:t>
            </w:r>
          </w:p>
        </w:tc>
        <w:tc>
          <w:tcPr>
            <w:tcW w:w="1276" w:type="dxa"/>
            <w:tcBorders>
              <w:bottom w:val="single" w:sz="4" w:space="0" w:color="auto"/>
            </w:tcBorders>
            <w:shd w:val="clear" w:color="auto" w:fill="95B3D7" w:themeFill="accent1" w:themeFillTint="99"/>
            <w:tcMar>
              <w:top w:w="17" w:type="dxa"/>
              <w:bottom w:w="17" w:type="dxa"/>
              <w:right w:w="28" w:type="dxa"/>
            </w:tcMar>
            <w:vAlign w:val="center"/>
          </w:tcPr>
          <w:p w14:paraId="2EB1386F" w14:textId="77777777" w:rsidR="007D6EA2" w:rsidRDefault="007D6EA2" w:rsidP="007D6EA2">
            <w:pPr>
              <w:ind w:right="28"/>
              <w:jc w:val="right"/>
              <w:rPr>
                <w:rFonts w:ascii="Arial Narrow" w:hAnsi="Arial Narrow" w:cs="Calibri"/>
                <w:spacing w:val="-2"/>
                <w:sz w:val="20"/>
                <w:szCs w:val="20"/>
              </w:rPr>
            </w:pPr>
            <w:r>
              <w:rPr>
                <w:rFonts w:ascii="Arial Narrow" w:hAnsi="Arial Narrow" w:cs="Calibri"/>
                <w:spacing w:val="-2"/>
                <w:sz w:val="20"/>
                <w:szCs w:val="20"/>
              </w:rPr>
              <w:t>0</w:t>
            </w:r>
          </w:p>
        </w:tc>
        <w:tc>
          <w:tcPr>
            <w:tcW w:w="1134" w:type="dxa"/>
            <w:shd w:val="clear" w:color="auto" w:fill="95B3D7" w:themeFill="accent1" w:themeFillTint="99"/>
            <w:tcMar>
              <w:top w:w="17" w:type="dxa"/>
              <w:bottom w:w="17" w:type="dxa"/>
              <w:right w:w="28" w:type="dxa"/>
            </w:tcMar>
            <w:vAlign w:val="center"/>
          </w:tcPr>
          <w:p w14:paraId="5FCEB43E" w14:textId="77777777" w:rsidR="007D6EA2" w:rsidRDefault="007D6EA2" w:rsidP="007D6EA2">
            <w:pPr>
              <w:ind w:right="28"/>
              <w:jc w:val="right"/>
              <w:rPr>
                <w:rFonts w:ascii="Arial Narrow" w:hAnsi="Arial Narrow" w:cs="Calibri"/>
                <w:color w:val="000000"/>
                <w:spacing w:val="-2"/>
                <w:sz w:val="20"/>
                <w:szCs w:val="20"/>
              </w:rPr>
            </w:pPr>
            <w:r>
              <w:rPr>
                <w:rFonts w:ascii="Arial Narrow" w:hAnsi="Arial Narrow" w:cs="Calibri"/>
                <w:color w:val="000000"/>
                <w:spacing w:val="-2"/>
                <w:sz w:val="20"/>
                <w:szCs w:val="20"/>
              </w:rPr>
              <w:t>+76 366 735</w:t>
            </w:r>
          </w:p>
        </w:tc>
        <w:tc>
          <w:tcPr>
            <w:tcW w:w="1276" w:type="dxa"/>
            <w:shd w:val="clear" w:color="auto" w:fill="95B3D7" w:themeFill="accent1" w:themeFillTint="99"/>
            <w:tcMar>
              <w:top w:w="17" w:type="dxa"/>
              <w:bottom w:w="17" w:type="dxa"/>
              <w:right w:w="28" w:type="dxa"/>
            </w:tcMar>
            <w:vAlign w:val="center"/>
          </w:tcPr>
          <w:p w14:paraId="17E59806" w14:textId="77777777" w:rsidR="007D6EA2" w:rsidRDefault="007D6EA2" w:rsidP="007D6EA2">
            <w:pPr>
              <w:ind w:right="28"/>
              <w:jc w:val="right"/>
              <w:rPr>
                <w:rFonts w:ascii="Arial Narrow" w:hAnsi="Arial Narrow" w:cs="Calibri"/>
                <w:color w:val="000000"/>
                <w:spacing w:val="-2"/>
                <w:sz w:val="20"/>
                <w:szCs w:val="20"/>
              </w:rPr>
            </w:pPr>
            <w:r>
              <w:rPr>
                <w:rFonts w:ascii="Arial Narrow" w:hAnsi="Arial Narrow" w:cs="Calibri"/>
                <w:color w:val="000000"/>
                <w:spacing w:val="-2"/>
                <w:sz w:val="20"/>
                <w:szCs w:val="20"/>
              </w:rPr>
              <w:t>76 366 735</w:t>
            </w:r>
          </w:p>
        </w:tc>
        <w:tc>
          <w:tcPr>
            <w:tcW w:w="1985" w:type="dxa"/>
            <w:shd w:val="clear" w:color="auto" w:fill="95B3D7" w:themeFill="accent1" w:themeFillTint="99"/>
            <w:vAlign w:val="center"/>
          </w:tcPr>
          <w:p w14:paraId="5E05EE6D" w14:textId="77777777" w:rsidR="007D6EA2" w:rsidRDefault="007D6EA2" w:rsidP="007D6EA2">
            <w:pPr>
              <w:rPr>
                <w:rFonts w:ascii="Arial Narrow" w:hAnsi="Arial Narrow" w:cs="Calibri"/>
                <w:spacing w:val="-2"/>
                <w:sz w:val="20"/>
                <w:szCs w:val="20"/>
              </w:rPr>
            </w:pPr>
          </w:p>
        </w:tc>
      </w:tr>
      <w:tr w:rsidR="007D6EA2" w:rsidRPr="004A20D6" w14:paraId="723B42F2" w14:textId="77777777" w:rsidTr="007D6EA2">
        <w:trPr>
          <w:trHeight w:val="312"/>
        </w:trPr>
        <w:tc>
          <w:tcPr>
            <w:tcW w:w="993" w:type="dxa"/>
            <w:vMerge w:val="restart"/>
            <w:shd w:val="clear" w:color="auto" w:fill="95B3D7" w:themeFill="accent1" w:themeFillTint="99"/>
            <w:tcMar>
              <w:top w:w="17" w:type="dxa"/>
              <w:bottom w:w="17" w:type="dxa"/>
              <w:right w:w="28" w:type="dxa"/>
            </w:tcMar>
            <w:vAlign w:val="center"/>
            <w:hideMark/>
          </w:tcPr>
          <w:p w14:paraId="122607CC" w14:textId="77777777" w:rsidR="007D6EA2" w:rsidRPr="004A20D6" w:rsidRDefault="007D6EA2" w:rsidP="007D6EA2">
            <w:pPr>
              <w:rPr>
                <w:rFonts w:ascii="Arial Narrow" w:hAnsi="Arial Narrow" w:cs="Calibri"/>
                <w:b/>
                <w:bCs/>
                <w:spacing w:val="-2"/>
                <w:sz w:val="20"/>
                <w:szCs w:val="20"/>
              </w:rPr>
            </w:pPr>
            <w:r w:rsidRPr="004A20D6">
              <w:rPr>
                <w:rFonts w:ascii="Arial Narrow" w:hAnsi="Arial Narrow" w:cs="Calibri"/>
                <w:b/>
                <w:bCs/>
                <w:spacing w:val="-2"/>
                <w:sz w:val="20"/>
                <w:szCs w:val="20"/>
              </w:rPr>
              <w:t>Spolu</w:t>
            </w:r>
          </w:p>
        </w:tc>
        <w:tc>
          <w:tcPr>
            <w:tcW w:w="3119" w:type="dxa"/>
            <w:shd w:val="clear" w:color="000000" w:fill="C5D9F1"/>
            <w:tcMar>
              <w:top w:w="17" w:type="dxa"/>
              <w:bottom w:w="17" w:type="dxa"/>
              <w:right w:w="28" w:type="dxa"/>
            </w:tcMar>
            <w:vAlign w:val="center"/>
            <w:hideMark/>
          </w:tcPr>
          <w:p w14:paraId="5805E1BE"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MRR</w:t>
            </w:r>
          </w:p>
        </w:tc>
        <w:tc>
          <w:tcPr>
            <w:tcW w:w="850" w:type="dxa"/>
            <w:shd w:val="clear" w:color="000000" w:fill="C5D9F1"/>
            <w:tcMar>
              <w:top w:w="17" w:type="dxa"/>
              <w:bottom w:w="17" w:type="dxa"/>
              <w:right w:w="28" w:type="dxa"/>
            </w:tcMar>
            <w:vAlign w:val="center"/>
            <w:hideMark/>
          </w:tcPr>
          <w:p w14:paraId="74B21E8C" w14:textId="77777777" w:rsidR="007D6EA2" w:rsidRPr="004A20D6" w:rsidRDefault="007D6EA2" w:rsidP="007D6EA2">
            <w:pPr>
              <w:jc w:val="center"/>
              <w:rPr>
                <w:rFonts w:ascii="Arial Narrow" w:hAnsi="Arial Narrow" w:cs="Calibri"/>
                <w:color w:val="000000"/>
                <w:spacing w:val="-2"/>
                <w:sz w:val="20"/>
                <w:szCs w:val="20"/>
              </w:rPr>
            </w:pPr>
            <w:r>
              <w:rPr>
                <w:rFonts w:ascii="Arial Narrow" w:hAnsi="Arial Narrow" w:cs="Calibri"/>
                <w:color w:val="000000"/>
                <w:spacing w:val="-2"/>
                <w:sz w:val="20"/>
                <w:szCs w:val="20"/>
              </w:rPr>
              <w:t>MRR</w:t>
            </w:r>
          </w:p>
        </w:tc>
        <w:tc>
          <w:tcPr>
            <w:tcW w:w="1276" w:type="dxa"/>
            <w:tcBorders>
              <w:top w:val="single" w:sz="4" w:space="0" w:color="auto"/>
              <w:left w:val="nil"/>
              <w:bottom w:val="single" w:sz="4" w:space="0" w:color="auto"/>
              <w:right w:val="single" w:sz="4" w:space="0" w:color="auto"/>
            </w:tcBorders>
            <w:shd w:val="clear" w:color="000000" w:fill="C5D9F1"/>
            <w:tcMar>
              <w:top w:w="17" w:type="dxa"/>
              <w:bottom w:w="17" w:type="dxa"/>
              <w:right w:w="28" w:type="dxa"/>
            </w:tcMar>
            <w:vAlign w:val="center"/>
          </w:tcPr>
          <w:p w14:paraId="704AC99B"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z w:val="20"/>
                <w:szCs w:val="20"/>
              </w:rPr>
              <w:t>1 578 083 169</w:t>
            </w:r>
          </w:p>
        </w:tc>
        <w:tc>
          <w:tcPr>
            <w:tcW w:w="1134" w:type="dxa"/>
            <w:tcBorders>
              <w:left w:val="single" w:sz="4" w:space="0" w:color="auto"/>
            </w:tcBorders>
            <w:shd w:val="clear" w:color="000000" w:fill="C5D9F1"/>
            <w:tcMar>
              <w:top w:w="17" w:type="dxa"/>
              <w:bottom w:w="17" w:type="dxa"/>
              <w:right w:w="28" w:type="dxa"/>
            </w:tcMar>
            <w:vAlign w:val="center"/>
          </w:tcPr>
          <w:p w14:paraId="00253D1E" w14:textId="77777777" w:rsidR="007D6EA2" w:rsidRPr="004A20D6" w:rsidRDefault="007D6EA2" w:rsidP="007D6EA2">
            <w:pPr>
              <w:ind w:right="28"/>
              <w:jc w:val="right"/>
              <w:rPr>
                <w:rFonts w:ascii="Arial Narrow" w:hAnsi="Arial Narrow" w:cs="Calibri"/>
                <w:spacing w:val="-2"/>
                <w:sz w:val="20"/>
                <w:szCs w:val="20"/>
              </w:rPr>
            </w:pPr>
          </w:p>
        </w:tc>
        <w:tc>
          <w:tcPr>
            <w:tcW w:w="1276" w:type="dxa"/>
            <w:shd w:val="clear" w:color="000000" w:fill="C5D9F1"/>
            <w:tcMar>
              <w:top w:w="17" w:type="dxa"/>
              <w:bottom w:w="17" w:type="dxa"/>
              <w:right w:w="28" w:type="dxa"/>
            </w:tcMar>
            <w:vAlign w:val="center"/>
          </w:tcPr>
          <w:p w14:paraId="2FA65A7A"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z w:val="20"/>
                <w:szCs w:val="20"/>
              </w:rPr>
              <w:t>1 578 083 169</w:t>
            </w:r>
          </w:p>
        </w:tc>
        <w:tc>
          <w:tcPr>
            <w:tcW w:w="1985" w:type="dxa"/>
            <w:shd w:val="clear" w:color="000000" w:fill="C5D9F1"/>
            <w:vAlign w:val="center"/>
          </w:tcPr>
          <w:p w14:paraId="1BE9C51A" w14:textId="77777777" w:rsidR="007D6EA2" w:rsidRPr="004A20D6" w:rsidRDefault="007D6EA2" w:rsidP="007D6EA2">
            <w:pPr>
              <w:rPr>
                <w:rFonts w:ascii="Arial Narrow" w:hAnsi="Arial Narrow" w:cs="Calibri"/>
                <w:spacing w:val="-2"/>
                <w:sz w:val="20"/>
                <w:szCs w:val="20"/>
              </w:rPr>
            </w:pPr>
          </w:p>
        </w:tc>
      </w:tr>
      <w:tr w:rsidR="007D6EA2" w:rsidRPr="004A20D6" w14:paraId="2E23A0EE" w14:textId="77777777" w:rsidTr="007D6EA2">
        <w:trPr>
          <w:trHeight w:val="312"/>
        </w:trPr>
        <w:tc>
          <w:tcPr>
            <w:tcW w:w="993" w:type="dxa"/>
            <w:vMerge/>
            <w:shd w:val="clear" w:color="auto" w:fill="95B3D7" w:themeFill="accent1" w:themeFillTint="99"/>
            <w:tcMar>
              <w:top w:w="17" w:type="dxa"/>
              <w:bottom w:w="17" w:type="dxa"/>
              <w:right w:w="28" w:type="dxa"/>
            </w:tcMar>
            <w:vAlign w:val="center"/>
          </w:tcPr>
          <w:p w14:paraId="66842936" w14:textId="77777777" w:rsidR="007D6EA2" w:rsidRPr="004A20D6" w:rsidRDefault="007D6EA2" w:rsidP="007D6EA2">
            <w:pPr>
              <w:rPr>
                <w:rFonts w:ascii="Arial Narrow" w:hAnsi="Arial Narrow" w:cs="Calibri"/>
                <w:b/>
                <w:bCs/>
                <w:spacing w:val="-2"/>
                <w:sz w:val="20"/>
                <w:szCs w:val="20"/>
              </w:rPr>
            </w:pPr>
          </w:p>
        </w:tc>
        <w:tc>
          <w:tcPr>
            <w:tcW w:w="3119" w:type="dxa"/>
            <w:shd w:val="clear" w:color="000000" w:fill="C5D9F1"/>
            <w:tcMar>
              <w:top w:w="17" w:type="dxa"/>
              <w:bottom w:w="17" w:type="dxa"/>
              <w:right w:w="28" w:type="dxa"/>
            </w:tcMar>
            <w:vAlign w:val="center"/>
          </w:tcPr>
          <w:p w14:paraId="772DDAA6"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 xml:space="preserve">Spolu </w:t>
            </w:r>
            <w:r>
              <w:rPr>
                <w:rFonts w:ascii="Arial Narrow" w:hAnsi="Arial Narrow" w:cs="Calibri"/>
                <w:b/>
                <w:bCs/>
                <w:color w:val="000000"/>
                <w:spacing w:val="-2"/>
                <w:sz w:val="20"/>
                <w:szCs w:val="20"/>
              </w:rPr>
              <w:t>VRR</w:t>
            </w:r>
          </w:p>
        </w:tc>
        <w:tc>
          <w:tcPr>
            <w:tcW w:w="850" w:type="dxa"/>
            <w:shd w:val="clear" w:color="000000" w:fill="C5D9F1"/>
            <w:tcMar>
              <w:top w:w="17" w:type="dxa"/>
              <w:bottom w:w="17" w:type="dxa"/>
              <w:right w:w="28" w:type="dxa"/>
            </w:tcMar>
            <w:vAlign w:val="center"/>
          </w:tcPr>
          <w:p w14:paraId="352A10EF" w14:textId="77777777" w:rsidR="007D6EA2" w:rsidRPr="004A20D6" w:rsidRDefault="007D6EA2" w:rsidP="007D6EA2">
            <w:pPr>
              <w:jc w:val="center"/>
              <w:rPr>
                <w:rFonts w:ascii="Arial Narrow" w:hAnsi="Arial Narrow" w:cs="Calibri"/>
                <w:spacing w:val="-2"/>
                <w:sz w:val="20"/>
                <w:szCs w:val="20"/>
              </w:rPr>
            </w:pPr>
            <w:r w:rsidRPr="004A20D6">
              <w:rPr>
                <w:rFonts w:ascii="Arial Narrow" w:hAnsi="Arial Narrow" w:cs="Calibri"/>
                <w:spacing w:val="-2"/>
                <w:sz w:val="20"/>
                <w:szCs w:val="20"/>
              </w:rPr>
              <w:t>VRR</w:t>
            </w:r>
          </w:p>
        </w:tc>
        <w:tc>
          <w:tcPr>
            <w:tcW w:w="1276" w:type="dxa"/>
            <w:tcBorders>
              <w:top w:val="single" w:sz="4" w:space="0" w:color="auto"/>
              <w:left w:val="nil"/>
              <w:bottom w:val="single" w:sz="4" w:space="0" w:color="auto"/>
              <w:right w:val="single" w:sz="4" w:space="0" w:color="auto"/>
            </w:tcBorders>
            <w:shd w:val="clear" w:color="000000" w:fill="C5D9F1"/>
            <w:tcMar>
              <w:top w:w="17" w:type="dxa"/>
              <w:bottom w:w="17" w:type="dxa"/>
              <w:right w:w="28" w:type="dxa"/>
            </w:tcMar>
            <w:vAlign w:val="center"/>
          </w:tcPr>
          <w:p w14:paraId="29D879C4" w14:textId="77777777" w:rsidR="007D6EA2" w:rsidRPr="00EB1889" w:rsidRDefault="007D6EA2" w:rsidP="007D6EA2">
            <w:pPr>
              <w:ind w:right="28"/>
              <w:jc w:val="right"/>
              <w:rPr>
                <w:rFonts w:ascii="Arial Narrow" w:hAnsi="Arial Narrow" w:cs="Calibri"/>
                <w:color w:val="000000"/>
                <w:spacing w:val="-2"/>
                <w:sz w:val="20"/>
                <w:szCs w:val="20"/>
              </w:rPr>
            </w:pPr>
            <w:r>
              <w:rPr>
                <w:rFonts w:ascii="Arial Narrow" w:hAnsi="Arial Narrow" w:cs="Calibri"/>
                <w:color w:val="000000"/>
                <w:sz w:val="20"/>
                <w:szCs w:val="20"/>
              </w:rPr>
              <w:t>121 858 609</w:t>
            </w:r>
          </w:p>
        </w:tc>
        <w:tc>
          <w:tcPr>
            <w:tcW w:w="1134" w:type="dxa"/>
            <w:tcBorders>
              <w:left w:val="single" w:sz="4" w:space="0" w:color="auto"/>
            </w:tcBorders>
            <w:shd w:val="clear" w:color="000000" w:fill="C5D9F1"/>
            <w:tcMar>
              <w:top w:w="17" w:type="dxa"/>
              <w:bottom w:w="17" w:type="dxa"/>
              <w:right w:w="28" w:type="dxa"/>
            </w:tcMar>
            <w:vAlign w:val="center"/>
          </w:tcPr>
          <w:p w14:paraId="70C41EFB" w14:textId="77777777" w:rsidR="007D6EA2" w:rsidRPr="004A20D6" w:rsidRDefault="007D6EA2" w:rsidP="007D6EA2">
            <w:pPr>
              <w:ind w:right="28"/>
              <w:jc w:val="right"/>
              <w:rPr>
                <w:rFonts w:ascii="Arial Narrow" w:hAnsi="Arial Narrow" w:cs="Calibri"/>
                <w:spacing w:val="-2"/>
                <w:sz w:val="20"/>
                <w:szCs w:val="20"/>
              </w:rPr>
            </w:pPr>
          </w:p>
        </w:tc>
        <w:tc>
          <w:tcPr>
            <w:tcW w:w="1276" w:type="dxa"/>
            <w:shd w:val="clear" w:color="000000" w:fill="C5D9F1"/>
            <w:tcMar>
              <w:top w:w="17" w:type="dxa"/>
              <w:bottom w:w="17" w:type="dxa"/>
              <w:right w:w="28" w:type="dxa"/>
            </w:tcMar>
            <w:vAlign w:val="center"/>
          </w:tcPr>
          <w:p w14:paraId="2EE567AA" w14:textId="77777777" w:rsidR="007D6EA2" w:rsidRPr="00EB1889" w:rsidRDefault="007D6EA2" w:rsidP="007D6EA2">
            <w:pPr>
              <w:ind w:right="28"/>
              <w:jc w:val="right"/>
              <w:rPr>
                <w:rFonts w:ascii="Arial Narrow" w:hAnsi="Arial Narrow" w:cs="Calibri"/>
                <w:color w:val="000000"/>
                <w:spacing w:val="-2"/>
                <w:sz w:val="20"/>
                <w:szCs w:val="20"/>
              </w:rPr>
            </w:pPr>
            <w:r>
              <w:rPr>
                <w:rFonts w:ascii="Arial Narrow" w:hAnsi="Arial Narrow" w:cs="Calibri"/>
                <w:color w:val="000000"/>
                <w:sz w:val="20"/>
                <w:szCs w:val="20"/>
              </w:rPr>
              <w:t>121 858 609</w:t>
            </w:r>
          </w:p>
        </w:tc>
        <w:tc>
          <w:tcPr>
            <w:tcW w:w="1985" w:type="dxa"/>
            <w:shd w:val="clear" w:color="000000" w:fill="C5D9F1"/>
            <w:vAlign w:val="center"/>
          </w:tcPr>
          <w:p w14:paraId="31C6AE90" w14:textId="77777777" w:rsidR="007D6EA2" w:rsidRPr="004A20D6" w:rsidRDefault="007D6EA2" w:rsidP="007D6EA2">
            <w:pPr>
              <w:rPr>
                <w:rFonts w:ascii="Arial Narrow" w:hAnsi="Arial Narrow" w:cs="Calibri"/>
                <w:spacing w:val="-2"/>
                <w:sz w:val="20"/>
                <w:szCs w:val="20"/>
              </w:rPr>
            </w:pPr>
          </w:p>
        </w:tc>
      </w:tr>
      <w:tr w:rsidR="007D6EA2" w:rsidRPr="004A20D6" w14:paraId="37EA4FA5" w14:textId="77777777" w:rsidTr="007D6EA2">
        <w:trPr>
          <w:trHeight w:val="312"/>
        </w:trPr>
        <w:tc>
          <w:tcPr>
            <w:tcW w:w="993" w:type="dxa"/>
            <w:vMerge/>
            <w:shd w:val="clear" w:color="auto" w:fill="95B3D7" w:themeFill="accent1" w:themeFillTint="99"/>
            <w:tcMar>
              <w:top w:w="17" w:type="dxa"/>
              <w:bottom w:w="17" w:type="dxa"/>
              <w:right w:w="28" w:type="dxa"/>
            </w:tcMar>
            <w:vAlign w:val="center"/>
          </w:tcPr>
          <w:p w14:paraId="27E1A367" w14:textId="77777777" w:rsidR="007D6EA2" w:rsidRPr="004A20D6" w:rsidRDefault="007D6EA2" w:rsidP="007D6EA2">
            <w:pPr>
              <w:rPr>
                <w:rFonts w:ascii="Arial Narrow" w:hAnsi="Arial Narrow" w:cs="Calibri"/>
                <w:b/>
                <w:bCs/>
                <w:spacing w:val="-2"/>
                <w:sz w:val="20"/>
                <w:szCs w:val="20"/>
              </w:rPr>
            </w:pPr>
          </w:p>
        </w:tc>
        <w:tc>
          <w:tcPr>
            <w:tcW w:w="3119" w:type="dxa"/>
            <w:shd w:val="clear" w:color="auto" w:fill="95B3D7" w:themeFill="accent1" w:themeFillTint="99"/>
            <w:tcMar>
              <w:top w:w="17" w:type="dxa"/>
              <w:bottom w:w="17" w:type="dxa"/>
              <w:right w:w="28" w:type="dxa"/>
            </w:tcMar>
            <w:vAlign w:val="center"/>
          </w:tcPr>
          <w:p w14:paraId="16467133" w14:textId="77777777" w:rsidR="007D6EA2" w:rsidRPr="00BE67DE" w:rsidRDefault="007D6EA2" w:rsidP="007D6EA2">
            <w:pPr>
              <w:rPr>
                <w:rFonts w:ascii="Arial Narrow" w:hAnsi="Arial Narrow" w:cs="Calibri"/>
                <w:b/>
                <w:bCs/>
                <w:color w:val="000000"/>
                <w:spacing w:val="-2"/>
                <w:sz w:val="20"/>
                <w:szCs w:val="20"/>
              </w:rPr>
            </w:pPr>
            <w:r w:rsidRPr="00BE67DE">
              <w:rPr>
                <w:rFonts w:ascii="Arial Narrow" w:hAnsi="Arial Narrow" w:cs="Calibri"/>
                <w:b/>
                <w:bCs/>
                <w:color w:val="000000"/>
                <w:spacing w:val="-2"/>
                <w:sz w:val="20"/>
                <w:szCs w:val="20"/>
              </w:rPr>
              <w:t>Spolu REACT-EÚ</w:t>
            </w:r>
          </w:p>
        </w:tc>
        <w:tc>
          <w:tcPr>
            <w:tcW w:w="850" w:type="dxa"/>
            <w:shd w:val="clear" w:color="auto" w:fill="95B3D7" w:themeFill="accent1" w:themeFillTint="99"/>
            <w:tcMar>
              <w:top w:w="17" w:type="dxa"/>
              <w:bottom w:w="17" w:type="dxa"/>
              <w:right w:w="28" w:type="dxa"/>
            </w:tcMar>
            <w:vAlign w:val="center"/>
          </w:tcPr>
          <w:p w14:paraId="27716FA5"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N/A</w:t>
            </w:r>
          </w:p>
        </w:tc>
        <w:tc>
          <w:tcPr>
            <w:tcW w:w="1276" w:type="dxa"/>
            <w:tcBorders>
              <w:top w:val="single" w:sz="4" w:space="0" w:color="auto"/>
              <w:left w:val="nil"/>
              <w:bottom w:val="single" w:sz="4" w:space="0" w:color="auto"/>
              <w:right w:val="single" w:sz="4" w:space="0" w:color="auto"/>
            </w:tcBorders>
            <w:shd w:val="clear" w:color="auto" w:fill="95B3D7" w:themeFill="accent1" w:themeFillTint="99"/>
            <w:tcMar>
              <w:top w:w="17" w:type="dxa"/>
              <w:bottom w:w="17" w:type="dxa"/>
              <w:right w:w="28" w:type="dxa"/>
            </w:tcMar>
            <w:vAlign w:val="center"/>
          </w:tcPr>
          <w:p w14:paraId="45D4D6AC"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z w:val="20"/>
                <w:szCs w:val="20"/>
              </w:rPr>
              <w:t>235 782 984</w:t>
            </w:r>
          </w:p>
        </w:tc>
        <w:tc>
          <w:tcPr>
            <w:tcW w:w="1134" w:type="dxa"/>
            <w:tcBorders>
              <w:left w:val="single" w:sz="4" w:space="0" w:color="auto"/>
            </w:tcBorders>
            <w:shd w:val="clear" w:color="auto" w:fill="95B3D7" w:themeFill="accent1" w:themeFillTint="99"/>
            <w:tcMar>
              <w:top w:w="17" w:type="dxa"/>
              <w:bottom w:w="17" w:type="dxa"/>
              <w:right w:w="28" w:type="dxa"/>
            </w:tcMar>
            <w:vAlign w:val="center"/>
          </w:tcPr>
          <w:p w14:paraId="113C5423" w14:textId="77777777" w:rsidR="007D6EA2" w:rsidRPr="004A20D6" w:rsidRDefault="007D6EA2" w:rsidP="007D6EA2">
            <w:pPr>
              <w:ind w:right="28"/>
              <w:jc w:val="right"/>
              <w:rPr>
                <w:rFonts w:ascii="Arial Narrow" w:hAnsi="Arial Narrow" w:cs="Calibri"/>
                <w:spacing w:val="-2"/>
                <w:sz w:val="20"/>
                <w:szCs w:val="20"/>
              </w:rPr>
            </w:pPr>
          </w:p>
        </w:tc>
        <w:tc>
          <w:tcPr>
            <w:tcW w:w="1276" w:type="dxa"/>
            <w:shd w:val="clear" w:color="auto" w:fill="95B3D7" w:themeFill="accent1" w:themeFillTint="99"/>
            <w:tcMar>
              <w:top w:w="17" w:type="dxa"/>
              <w:bottom w:w="17" w:type="dxa"/>
              <w:right w:w="28" w:type="dxa"/>
            </w:tcMar>
            <w:vAlign w:val="center"/>
          </w:tcPr>
          <w:p w14:paraId="52747969"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z w:val="20"/>
                <w:szCs w:val="20"/>
              </w:rPr>
              <w:t>235 782 984</w:t>
            </w:r>
          </w:p>
        </w:tc>
        <w:tc>
          <w:tcPr>
            <w:tcW w:w="1985" w:type="dxa"/>
            <w:shd w:val="clear" w:color="auto" w:fill="95B3D7" w:themeFill="accent1" w:themeFillTint="99"/>
            <w:vAlign w:val="center"/>
          </w:tcPr>
          <w:p w14:paraId="5962A1E9" w14:textId="77777777" w:rsidR="007D6EA2" w:rsidRPr="004A20D6" w:rsidRDefault="007D6EA2" w:rsidP="007D6EA2">
            <w:pPr>
              <w:rPr>
                <w:rFonts w:ascii="Arial Narrow" w:hAnsi="Arial Narrow" w:cs="Calibri"/>
                <w:spacing w:val="-2"/>
                <w:sz w:val="20"/>
                <w:szCs w:val="20"/>
              </w:rPr>
            </w:pPr>
          </w:p>
        </w:tc>
      </w:tr>
      <w:tr w:rsidR="007D6EA2" w:rsidRPr="004A20D6" w14:paraId="7296A516" w14:textId="77777777" w:rsidTr="00CE2BC5">
        <w:trPr>
          <w:trHeight w:val="312"/>
        </w:trPr>
        <w:tc>
          <w:tcPr>
            <w:tcW w:w="993" w:type="dxa"/>
            <w:vMerge/>
            <w:shd w:val="clear" w:color="auto" w:fill="95B3D7" w:themeFill="accent1" w:themeFillTint="99"/>
            <w:tcMar>
              <w:top w:w="17" w:type="dxa"/>
              <w:bottom w:w="17" w:type="dxa"/>
              <w:right w:w="28" w:type="dxa"/>
            </w:tcMar>
            <w:vAlign w:val="center"/>
            <w:hideMark/>
          </w:tcPr>
          <w:p w14:paraId="32FE4B47" w14:textId="77777777" w:rsidR="007D6EA2" w:rsidRPr="004A20D6" w:rsidRDefault="007D6EA2" w:rsidP="007D6EA2">
            <w:pPr>
              <w:rPr>
                <w:rFonts w:ascii="Arial Narrow" w:hAnsi="Arial Narrow" w:cs="Calibri"/>
                <w:b/>
                <w:bCs/>
                <w:spacing w:val="-2"/>
                <w:sz w:val="20"/>
                <w:szCs w:val="20"/>
              </w:rPr>
            </w:pPr>
          </w:p>
        </w:tc>
        <w:tc>
          <w:tcPr>
            <w:tcW w:w="3119" w:type="dxa"/>
            <w:shd w:val="clear" w:color="auto" w:fill="95B3D7" w:themeFill="accent1" w:themeFillTint="99"/>
            <w:tcMar>
              <w:top w:w="17" w:type="dxa"/>
              <w:bottom w:w="17" w:type="dxa"/>
              <w:right w:w="28" w:type="dxa"/>
            </w:tcMar>
            <w:vAlign w:val="center"/>
            <w:hideMark/>
          </w:tcPr>
          <w:p w14:paraId="609AB091" w14:textId="77777777" w:rsidR="007D6EA2" w:rsidRPr="004A20D6" w:rsidRDefault="007D6EA2" w:rsidP="007D6EA2">
            <w:pPr>
              <w:rPr>
                <w:rFonts w:ascii="Arial Narrow" w:hAnsi="Arial Narrow" w:cs="Calibri"/>
                <w:b/>
                <w:bCs/>
                <w:color w:val="000000"/>
                <w:spacing w:val="-2"/>
                <w:sz w:val="20"/>
                <w:szCs w:val="20"/>
              </w:rPr>
            </w:pPr>
            <w:r w:rsidRPr="004A20D6">
              <w:rPr>
                <w:rFonts w:ascii="Arial Narrow" w:hAnsi="Arial Narrow" w:cs="Calibri"/>
                <w:b/>
                <w:bCs/>
                <w:color w:val="000000"/>
                <w:spacing w:val="-2"/>
                <w:sz w:val="20"/>
                <w:szCs w:val="20"/>
              </w:rPr>
              <w:t>Spolu IROP</w:t>
            </w:r>
          </w:p>
        </w:tc>
        <w:tc>
          <w:tcPr>
            <w:tcW w:w="850" w:type="dxa"/>
            <w:shd w:val="clear" w:color="auto" w:fill="95B3D7" w:themeFill="accent1" w:themeFillTint="99"/>
            <w:tcMar>
              <w:top w:w="17" w:type="dxa"/>
              <w:bottom w:w="17" w:type="dxa"/>
              <w:right w:w="28" w:type="dxa"/>
            </w:tcMar>
            <w:vAlign w:val="center"/>
            <w:hideMark/>
          </w:tcPr>
          <w:p w14:paraId="29749959" w14:textId="77777777" w:rsidR="007D6EA2" w:rsidRPr="004A20D6" w:rsidRDefault="007D6EA2" w:rsidP="007D6EA2">
            <w:pPr>
              <w:jc w:val="center"/>
              <w:rPr>
                <w:rFonts w:ascii="Arial Narrow" w:hAnsi="Arial Narrow" w:cs="Calibri"/>
                <w:color w:val="000000"/>
                <w:spacing w:val="-2"/>
                <w:sz w:val="20"/>
                <w:szCs w:val="20"/>
              </w:rPr>
            </w:pPr>
            <w:r w:rsidRPr="004A20D6">
              <w:rPr>
                <w:rFonts w:ascii="Arial Narrow" w:hAnsi="Arial Narrow" w:cs="Calibri"/>
                <w:color w:val="000000"/>
                <w:spacing w:val="-2"/>
                <w:sz w:val="20"/>
                <w:szCs w:val="20"/>
              </w:rPr>
              <w:t> </w:t>
            </w:r>
          </w:p>
        </w:tc>
        <w:tc>
          <w:tcPr>
            <w:tcW w:w="1276" w:type="dxa"/>
            <w:tcBorders>
              <w:top w:val="single" w:sz="4" w:space="0" w:color="auto"/>
              <w:left w:val="nil"/>
              <w:bottom w:val="single" w:sz="4" w:space="0" w:color="auto"/>
              <w:right w:val="single" w:sz="4" w:space="0" w:color="auto"/>
            </w:tcBorders>
            <w:shd w:val="clear" w:color="auto" w:fill="95B3D7" w:themeFill="accent1" w:themeFillTint="99"/>
            <w:tcMar>
              <w:top w:w="17" w:type="dxa"/>
              <w:bottom w:w="17" w:type="dxa"/>
              <w:right w:w="28" w:type="dxa"/>
            </w:tcMar>
            <w:vAlign w:val="center"/>
          </w:tcPr>
          <w:p w14:paraId="792BA9AB" w14:textId="77777777" w:rsidR="007D6EA2" w:rsidRPr="00CE2BC5" w:rsidRDefault="007D6EA2" w:rsidP="007D6EA2">
            <w:pPr>
              <w:ind w:right="28"/>
              <w:jc w:val="right"/>
              <w:rPr>
                <w:rFonts w:ascii="Arial Narrow" w:hAnsi="Arial Narrow" w:cs="Calibri"/>
                <w:color w:val="000000"/>
                <w:sz w:val="20"/>
                <w:szCs w:val="20"/>
              </w:rPr>
            </w:pPr>
            <w:r>
              <w:rPr>
                <w:rFonts w:ascii="Arial Narrow" w:hAnsi="Arial Narrow" w:cs="Calibri"/>
                <w:color w:val="000000"/>
                <w:sz w:val="20"/>
                <w:szCs w:val="20"/>
              </w:rPr>
              <w:t>1 935 724 762</w:t>
            </w:r>
          </w:p>
        </w:tc>
        <w:tc>
          <w:tcPr>
            <w:tcW w:w="1134" w:type="dxa"/>
            <w:tcBorders>
              <w:left w:val="single" w:sz="4" w:space="0" w:color="auto"/>
            </w:tcBorders>
            <w:shd w:val="clear" w:color="auto" w:fill="95B3D7" w:themeFill="accent1" w:themeFillTint="99"/>
            <w:tcMar>
              <w:top w:w="17" w:type="dxa"/>
              <w:bottom w:w="17" w:type="dxa"/>
              <w:right w:w="28" w:type="dxa"/>
            </w:tcMar>
            <w:vAlign w:val="center"/>
          </w:tcPr>
          <w:p w14:paraId="1B190A1F" w14:textId="77777777" w:rsidR="007D6EA2" w:rsidRPr="00CE2BC5" w:rsidRDefault="007D6EA2" w:rsidP="007D6EA2">
            <w:pPr>
              <w:ind w:right="28"/>
              <w:jc w:val="right"/>
              <w:rPr>
                <w:rFonts w:ascii="Arial Narrow" w:hAnsi="Arial Narrow" w:cs="Calibri"/>
                <w:color w:val="000000"/>
                <w:sz w:val="20"/>
                <w:szCs w:val="20"/>
              </w:rPr>
            </w:pPr>
            <w:r w:rsidRPr="00CE2BC5">
              <w:rPr>
                <w:rFonts w:ascii="Arial Narrow" w:hAnsi="Arial Narrow" w:cs="Calibri"/>
                <w:color w:val="000000"/>
                <w:sz w:val="20"/>
                <w:szCs w:val="20"/>
              </w:rPr>
              <w:t>0</w:t>
            </w:r>
          </w:p>
        </w:tc>
        <w:tc>
          <w:tcPr>
            <w:tcW w:w="1276" w:type="dxa"/>
            <w:shd w:val="clear" w:color="auto" w:fill="95B3D7" w:themeFill="accent1" w:themeFillTint="99"/>
            <w:tcMar>
              <w:top w:w="17" w:type="dxa"/>
              <w:bottom w:w="17" w:type="dxa"/>
              <w:right w:w="28" w:type="dxa"/>
            </w:tcMar>
            <w:vAlign w:val="center"/>
          </w:tcPr>
          <w:p w14:paraId="2AA60AA0" w14:textId="77777777" w:rsidR="007D6EA2" w:rsidRPr="004A20D6" w:rsidRDefault="007D6EA2" w:rsidP="007D6EA2">
            <w:pPr>
              <w:ind w:right="28"/>
              <w:jc w:val="right"/>
              <w:rPr>
                <w:rFonts w:ascii="Arial Narrow" w:hAnsi="Arial Narrow" w:cs="Calibri"/>
                <w:spacing w:val="-2"/>
                <w:sz w:val="20"/>
                <w:szCs w:val="20"/>
              </w:rPr>
            </w:pPr>
            <w:r>
              <w:rPr>
                <w:rFonts w:ascii="Arial Narrow" w:hAnsi="Arial Narrow" w:cs="Calibri"/>
                <w:color w:val="000000"/>
                <w:sz w:val="20"/>
                <w:szCs w:val="20"/>
              </w:rPr>
              <w:t>1 935 724 762</w:t>
            </w:r>
          </w:p>
        </w:tc>
        <w:tc>
          <w:tcPr>
            <w:tcW w:w="1985" w:type="dxa"/>
            <w:shd w:val="clear" w:color="auto" w:fill="95B3D7" w:themeFill="accent1" w:themeFillTint="99"/>
            <w:vAlign w:val="center"/>
          </w:tcPr>
          <w:p w14:paraId="3EF25AEA" w14:textId="77777777" w:rsidR="007D6EA2" w:rsidRPr="004A20D6" w:rsidRDefault="007D6EA2" w:rsidP="007D6EA2">
            <w:pPr>
              <w:rPr>
                <w:rFonts w:ascii="Arial Narrow" w:hAnsi="Arial Narrow" w:cs="Calibri"/>
                <w:spacing w:val="-2"/>
                <w:sz w:val="20"/>
                <w:szCs w:val="20"/>
              </w:rPr>
            </w:pPr>
          </w:p>
        </w:tc>
      </w:tr>
    </w:tbl>
    <w:p w14:paraId="18483448" w14:textId="77777777" w:rsidR="007D6EA2" w:rsidRPr="00BE67DE" w:rsidRDefault="007D6EA2" w:rsidP="007D6EA2">
      <w:pPr>
        <w:jc w:val="both"/>
        <w:rPr>
          <w:rFonts w:ascii="Arial Narrow" w:hAnsi="Arial Narrow"/>
          <w:b/>
        </w:rPr>
      </w:pPr>
    </w:p>
    <w:p w14:paraId="40EC8E1E" w14:textId="6BE23386" w:rsidR="007D6EA2" w:rsidRPr="006A5F60" w:rsidRDefault="007D6EA2" w:rsidP="00AC1D1A">
      <w:pPr>
        <w:pStyle w:val="Textkomentra"/>
        <w:jc w:val="both"/>
        <w:rPr>
          <w:b/>
          <w:spacing w:val="2"/>
          <w:sz w:val="22"/>
          <w:szCs w:val="22"/>
          <w:highlight w:val="yellow"/>
        </w:rPr>
      </w:pPr>
    </w:p>
    <w:p w14:paraId="4B25E26B" w14:textId="60E8339F" w:rsidR="00213CE7" w:rsidRPr="006A5F60" w:rsidRDefault="00D6402D" w:rsidP="0087675E">
      <w:pPr>
        <w:spacing w:before="80" w:after="80" w:line="276" w:lineRule="auto"/>
        <w:ind w:left="284" w:hanging="284"/>
        <w:jc w:val="both"/>
        <w:rPr>
          <w:b/>
          <w:bCs/>
          <w:sz w:val="22"/>
          <w:szCs w:val="22"/>
        </w:rPr>
      </w:pPr>
      <w:r w:rsidRPr="006A5F60">
        <w:rPr>
          <w:b/>
          <w:bCs/>
          <w:sz w:val="22"/>
          <w:szCs w:val="22"/>
        </w:rPr>
        <w:t>5.</w:t>
      </w:r>
      <w:r w:rsidR="00262F85" w:rsidRPr="006A5F60">
        <w:rPr>
          <w:b/>
          <w:bCs/>
          <w:sz w:val="22"/>
          <w:szCs w:val="22"/>
        </w:rPr>
        <w:tab/>
      </w:r>
      <w:r w:rsidR="00E54ACB" w:rsidRPr="006A5F60">
        <w:rPr>
          <w:b/>
          <w:bCs/>
          <w:sz w:val="22"/>
          <w:szCs w:val="22"/>
        </w:rPr>
        <w:t>Uvažované variantné riešenia</w:t>
      </w:r>
      <w:r w:rsidR="00213CE7" w:rsidRPr="006A5F60">
        <w:rPr>
          <w:b/>
          <w:bCs/>
          <w:sz w:val="22"/>
          <w:szCs w:val="22"/>
        </w:rPr>
        <w:t xml:space="preserve"> zohľadňujúce ciele a geografický rozmer strategického dokumentu</w:t>
      </w:r>
    </w:p>
    <w:p w14:paraId="57D8809C" w14:textId="2F558F49" w:rsidR="00E54ACB" w:rsidRPr="006A5F60" w:rsidRDefault="00C63DE7" w:rsidP="00BF3AB9">
      <w:pPr>
        <w:widowControl/>
        <w:autoSpaceDE/>
        <w:autoSpaceDN/>
        <w:adjustRightInd/>
        <w:spacing w:before="80" w:line="276" w:lineRule="auto"/>
        <w:jc w:val="both"/>
        <w:rPr>
          <w:sz w:val="22"/>
          <w:szCs w:val="22"/>
        </w:rPr>
      </w:pPr>
      <w:r w:rsidRPr="006A5F60">
        <w:rPr>
          <w:sz w:val="22"/>
          <w:szCs w:val="22"/>
        </w:rPr>
        <w:t>Navrhované zmeny IROP</w:t>
      </w:r>
      <w:r w:rsidR="009161AF" w:rsidRPr="006A5F60">
        <w:rPr>
          <w:sz w:val="22"/>
          <w:szCs w:val="22"/>
        </w:rPr>
        <w:t xml:space="preserve">, verzia </w:t>
      </w:r>
      <w:r w:rsidR="00CE2BC5" w:rsidRPr="006A5F60">
        <w:rPr>
          <w:sz w:val="22"/>
          <w:szCs w:val="22"/>
        </w:rPr>
        <w:t>14</w:t>
      </w:r>
      <w:r w:rsidR="009161AF" w:rsidRPr="006A5F60">
        <w:rPr>
          <w:sz w:val="22"/>
          <w:szCs w:val="22"/>
        </w:rPr>
        <w:t>.0</w:t>
      </w:r>
      <w:r w:rsidRPr="006A5F60">
        <w:rPr>
          <w:sz w:val="22"/>
          <w:szCs w:val="22"/>
        </w:rPr>
        <w:t xml:space="preserve"> sú invariantného charakteru z dôvodu limitovaných možnosti uskutočnenia revízie. </w:t>
      </w:r>
    </w:p>
    <w:p w14:paraId="2CC91A7C" w14:textId="77777777" w:rsidR="00BF3AB9" w:rsidRPr="006A5F60" w:rsidRDefault="00BF3AB9" w:rsidP="00BF3AB9">
      <w:pPr>
        <w:widowControl/>
        <w:autoSpaceDE/>
        <w:autoSpaceDN/>
        <w:adjustRightInd/>
        <w:spacing w:before="80" w:line="276" w:lineRule="auto"/>
        <w:jc w:val="both"/>
        <w:rPr>
          <w:sz w:val="22"/>
          <w:szCs w:val="22"/>
          <w:highlight w:val="yellow"/>
        </w:rPr>
      </w:pPr>
    </w:p>
    <w:p w14:paraId="2BCE924F" w14:textId="746F4AFC" w:rsidR="00E54ACB" w:rsidRPr="006A5F60" w:rsidRDefault="00262F85" w:rsidP="00D66A79">
      <w:pPr>
        <w:spacing w:before="80" w:line="264" w:lineRule="auto"/>
        <w:ind w:left="284" w:hanging="284"/>
        <w:jc w:val="both"/>
        <w:rPr>
          <w:b/>
          <w:bCs/>
          <w:sz w:val="22"/>
          <w:szCs w:val="22"/>
        </w:rPr>
      </w:pPr>
      <w:r w:rsidRPr="006A5F60">
        <w:rPr>
          <w:b/>
          <w:bCs/>
          <w:sz w:val="22"/>
          <w:szCs w:val="22"/>
        </w:rPr>
        <w:t>6</w:t>
      </w:r>
      <w:r w:rsidR="00E84FB4" w:rsidRPr="006A5F60">
        <w:rPr>
          <w:b/>
          <w:bCs/>
          <w:sz w:val="22"/>
          <w:szCs w:val="22"/>
        </w:rPr>
        <w:t>.</w:t>
      </w:r>
      <w:r w:rsidRPr="006A5F60">
        <w:rPr>
          <w:b/>
          <w:bCs/>
          <w:sz w:val="22"/>
          <w:szCs w:val="22"/>
        </w:rPr>
        <w:tab/>
      </w:r>
      <w:r w:rsidR="00E54ACB" w:rsidRPr="006A5F60">
        <w:rPr>
          <w:b/>
          <w:bCs/>
          <w:sz w:val="22"/>
          <w:szCs w:val="22"/>
        </w:rPr>
        <w:t>Vecný a časový harmonogram prípravy a schvaľovania</w:t>
      </w:r>
    </w:p>
    <w:p w14:paraId="650D2E17" w14:textId="77777777" w:rsidR="00C13A14" w:rsidRPr="006A5F60" w:rsidRDefault="00C63DE7" w:rsidP="00BF3AB9">
      <w:pPr>
        <w:widowControl/>
        <w:autoSpaceDE/>
        <w:autoSpaceDN/>
        <w:adjustRightInd/>
        <w:spacing w:before="80" w:line="276" w:lineRule="auto"/>
        <w:jc w:val="both"/>
        <w:rPr>
          <w:sz w:val="22"/>
          <w:szCs w:val="22"/>
        </w:rPr>
      </w:pPr>
      <w:r w:rsidRPr="006A5F60">
        <w:rPr>
          <w:sz w:val="22"/>
          <w:szCs w:val="22"/>
        </w:rPr>
        <w:t xml:space="preserve">Navrhované zmeny IROP </w:t>
      </w:r>
      <w:r w:rsidR="003D3DC1" w:rsidRPr="006A5F60">
        <w:rPr>
          <w:sz w:val="22"/>
          <w:szCs w:val="22"/>
        </w:rPr>
        <w:t xml:space="preserve">(verzia </w:t>
      </w:r>
      <w:r w:rsidR="00CE2BC5" w:rsidRPr="006A5F60">
        <w:rPr>
          <w:sz w:val="22"/>
          <w:szCs w:val="22"/>
        </w:rPr>
        <w:t>14</w:t>
      </w:r>
      <w:r w:rsidR="00072B20" w:rsidRPr="006A5F60">
        <w:rPr>
          <w:sz w:val="22"/>
          <w:szCs w:val="22"/>
        </w:rPr>
        <w:t>.0</w:t>
      </w:r>
      <w:r w:rsidR="003D3DC1" w:rsidRPr="006A5F60">
        <w:rPr>
          <w:sz w:val="22"/>
          <w:szCs w:val="22"/>
        </w:rPr>
        <w:t xml:space="preserve">) </w:t>
      </w:r>
      <w:r w:rsidR="00CE2BC5" w:rsidRPr="006A5F60">
        <w:rPr>
          <w:sz w:val="22"/>
          <w:szCs w:val="22"/>
        </w:rPr>
        <w:t>budú</w:t>
      </w:r>
      <w:r w:rsidRPr="006A5F60">
        <w:rPr>
          <w:sz w:val="22"/>
          <w:szCs w:val="22"/>
        </w:rPr>
        <w:t xml:space="preserve"> predmetom </w:t>
      </w:r>
      <w:r w:rsidR="00582CF8" w:rsidRPr="006A5F60">
        <w:rPr>
          <w:sz w:val="22"/>
          <w:szCs w:val="22"/>
        </w:rPr>
        <w:t>pripomienkovania</w:t>
      </w:r>
      <w:r w:rsidR="00C32D3B" w:rsidRPr="006A5F60">
        <w:rPr>
          <w:sz w:val="22"/>
          <w:szCs w:val="22"/>
        </w:rPr>
        <w:t> </w:t>
      </w:r>
      <w:r w:rsidR="00360FD7" w:rsidRPr="006A5F60">
        <w:rPr>
          <w:sz w:val="22"/>
          <w:szCs w:val="22"/>
        </w:rPr>
        <w:t>a schvaľovania členmi</w:t>
      </w:r>
      <w:r w:rsidR="00C32D3B" w:rsidRPr="006A5F60">
        <w:rPr>
          <w:sz w:val="22"/>
          <w:szCs w:val="22"/>
        </w:rPr>
        <w:t xml:space="preserve"> </w:t>
      </w:r>
      <w:r w:rsidR="00582CF8" w:rsidRPr="006A5F60">
        <w:rPr>
          <w:sz w:val="22"/>
          <w:szCs w:val="22"/>
        </w:rPr>
        <w:t>Monitorovacieho výboru IROP</w:t>
      </w:r>
      <w:r w:rsidR="00CE2BC5" w:rsidRPr="006A5F60">
        <w:rPr>
          <w:sz w:val="22"/>
          <w:szCs w:val="22"/>
        </w:rPr>
        <w:t xml:space="preserve">. </w:t>
      </w:r>
    </w:p>
    <w:p w14:paraId="317C385F" w14:textId="3E412AA1" w:rsidR="00BF3AB9" w:rsidRPr="006A5F60" w:rsidRDefault="00BF3AB9" w:rsidP="00BF3AB9">
      <w:pPr>
        <w:widowControl/>
        <w:autoSpaceDE/>
        <w:autoSpaceDN/>
        <w:adjustRightInd/>
        <w:spacing w:before="80" w:line="276" w:lineRule="auto"/>
        <w:jc w:val="both"/>
        <w:rPr>
          <w:sz w:val="22"/>
          <w:szCs w:val="22"/>
        </w:rPr>
      </w:pPr>
      <w:r w:rsidRPr="006A5F60">
        <w:rPr>
          <w:sz w:val="22"/>
          <w:szCs w:val="22"/>
        </w:rPr>
        <w:t xml:space="preserve">Po ukončení procesu posudzovania vplyvov na životné prostredie podľa zákona č. 24/2006 Z. z. MIRRI SR predloží navrhované zmeny IROP, verzia </w:t>
      </w:r>
      <w:r w:rsidR="00360FD7" w:rsidRPr="006A5F60">
        <w:rPr>
          <w:sz w:val="22"/>
          <w:szCs w:val="22"/>
        </w:rPr>
        <w:t>14</w:t>
      </w:r>
      <w:r w:rsidRPr="006A5F60">
        <w:rPr>
          <w:sz w:val="22"/>
          <w:szCs w:val="22"/>
        </w:rPr>
        <w:t xml:space="preserve">.0 na posúdenie </w:t>
      </w:r>
      <w:r w:rsidR="00360FD7" w:rsidRPr="006A5F60">
        <w:rPr>
          <w:sz w:val="22"/>
          <w:szCs w:val="22"/>
        </w:rPr>
        <w:t>Európskej komisie</w:t>
      </w:r>
      <w:r w:rsidRPr="006A5F60">
        <w:rPr>
          <w:sz w:val="22"/>
          <w:szCs w:val="22"/>
        </w:rPr>
        <w:t xml:space="preserve"> prostredníctvom Systému riadenia fondov Európskeho spoločenstva (SFC2014). </w:t>
      </w:r>
    </w:p>
    <w:p w14:paraId="674BED96" w14:textId="1C694B37" w:rsidR="00BF3AB9" w:rsidRPr="006A5F60" w:rsidRDefault="00BF3AB9" w:rsidP="00BF3AB9">
      <w:pPr>
        <w:widowControl/>
        <w:autoSpaceDE/>
        <w:autoSpaceDN/>
        <w:adjustRightInd/>
        <w:spacing w:before="80" w:line="276" w:lineRule="auto"/>
        <w:jc w:val="both"/>
        <w:rPr>
          <w:sz w:val="22"/>
          <w:szCs w:val="22"/>
        </w:rPr>
      </w:pPr>
      <w:r w:rsidRPr="006A5F60">
        <w:rPr>
          <w:sz w:val="22"/>
          <w:szCs w:val="22"/>
        </w:rPr>
        <w:t xml:space="preserve">V prípade potreby bude IROP, verzia </w:t>
      </w:r>
      <w:r w:rsidR="00360FD7" w:rsidRPr="006A5F60">
        <w:rPr>
          <w:sz w:val="22"/>
          <w:szCs w:val="22"/>
        </w:rPr>
        <w:t>14.0 ďalej upravená</w:t>
      </w:r>
      <w:r w:rsidRPr="006A5F60">
        <w:rPr>
          <w:sz w:val="22"/>
          <w:szCs w:val="22"/>
        </w:rPr>
        <w:t xml:space="preserve"> v zmysle pripomienok a odporúčaní </w:t>
      </w:r>
      <w:r w:rsidR="00360FD7" w:rsidRPr="006A5F60">
        <w:rPr>
          <w:sz w:val="22"/>
          <w:szCs w:val="22"/>
        </w:rPr>
        <w:t>Európskej komisie</w:t>
      </w:r>
      <w:r w:rsidRPr="006A5F60">
        <w:rPr>
          <w:sz w:val="22"/>
          <w:szCs w:val="22"/>
        </w:rPr>
        <w:t>. Podľa čl. 30 všeobecného nariadenia schváli Komisia žiadosti o zmenu programu čo najskôr, ale najneskôr do dvoch mesiacov po ich predložení členským štátom za predpokladu, že sa všetky pripomienky EK náležite zohľadnili.</w:t>
      </w:r>
    </w:p>
    <w:p w14:paraId="15570C25" w14:textId="77777777" w:rsidR="00BF3AB9" w:rsidRPr="006A5F60" w:rsidRDefault="00BF3AB9" w:rsidP="00BF3AB9">
      <w:pPr>
        <w:widowControl/>
        <w:autoSpaceDE/>
        <w:autoSpaceDN/>
        <w:adjustRightInd/>
        <w:spacing w:before="80" w:line="276" w:lineRule="auto"/>
        <w:jc w:val="both"/>
        <w:rPr>
          <w:sz w:val="22"/>
          <w:szCs w:val="22"/>
          <w:highlight w:val="yellow"/>
        </w:rPr>
      </w:pPr>
    </w:p>
    <w:p w14:paraId="668F5294" w14:textId="52428EC9" w:rsidR="00E54ACB" w:rsidRPr="006A5F60" w:rsidRDefault="003D3DC1" w:rsidP="00DC39FD">
      <w:pPr>
        <w:spacing w:before="240" w:line="276" w:lineRule="auto"/>
        <w:ind w:left="284" w:hanging="284"/>
        <w:jc w:val="both"/>
        <w:rPr>
          <w:b/>
          <w:bCs/>
          <w:sz w:val="22"/>
          <w:szCs w:val="22"/>
        </w:rPr>
      </w:pPr>
      <w:r w:rsidRPr="006A5F60">
        <w:rPr>
          <w:b/>
          <w:bCs/>
          <w:sz w:val="22"/>
          <w:szCs w:val="22"/>
        </w:rPr>
        <w:t>7</w:t>
      </w:r>
      <w:r w:rsidR="00D6402D" w:rsidRPr="006A5F60">
        <w:rPr>
          <w:b/>
          <w:bCs/>
          <w:sz w:val="22"/>
          <w:szCs w:val="22"/>
        </w:rPr>
        <w:t>.</w:t>
      </w:r>
      <w:r w:rsidR="00E54ACB" w:rsidRPr="006A5F60">
        <w:rPr>
          <w:b/>
          <w:bCs/>
          <w:sz w:val="22"/>
          <w:szCs w:val="22"/>
        </w:rPr>
        <w:tab/>
        <w:t>Vzťah k iným strategickým dokumentom</w:t>
      </w:r>
    </w:p>
    <w:p w14:paraId="2ED36F27" w14:textId="6A2EEBD3" w:rsidR="00E54ACB" w:rsidRPr="006A5F60" w:rsidRDefault="001C3089" w:rsidP="00E42DB0">
      <w:pPr>
        <w:spacing w:before="80" w:after="60" w:line="276" w:lineRule="auto"/>
        <w:jc w:val="both"/>
        <w:rPr>
          <w:i/>
          <w:sz w:val="22"/>
          <w:szCs w:val="22"/>
        </w:rPr>
      </w:pPr>
      <w:r w:rsidRPr="006A5F60">
        <w:rPr>
          <w:i/>
          <w:sz w:val="22"/>
          <w:szCs w:val="22"/>
        </w:rPr>
        <w:t>Strategické dokumenty a politiky EÚ</w:t>
      </w:r>
    </w:p>
    <w:p w14:paraId="005BFE45" w14:textId="77777777" w:rsidR="006E3F06" w:rsidRPr="006A5F60" w:rsidRDefault="006E3F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Spoločný strategický rámec,</w:t>
      </w:r>
    </w:p>
    <w:p w14:paraId="64363B09" w14:textId="77777777" w:rsidR="005A0A06" w:rsidRPr="006A5F60" w:rsidRDefault="006E3F06" w:rsidP="0087675E">
      <w:pPr>
        <w:pStyle w:val="Odsekzoznamu"/>
        <w:numPr>
          <w:ilvl w:val="0"/>
          <w:numId w:val="1"/>
        </w:numPr>
        <w:spacing w:after="0"/>
        <w:ind w:left="567" w:hanging="142"/>
        <w:contextualSpacing w:val="0"/>
        <w:jc w:val="both"/>
        <w:rPr>
          <w:rFonts w:ascii="Arial" w:hAnsi="Arial" w:cs="Arial"/>
          <w:spacing w:val="-2"/>
        </w:rPr>
      </w:pPr>
      <w:r w:rsidRPr="006A5F60">
        <w:rPr>
          <w:rFonts w:ascii="Arial" w:hAnsi="Arial" w:cs="Arial"/>
          <w:spacing w:val="-2"/>
        </w:rPr>
        <w:t xml:space="preserve">Európa 2020 </w:t>
      </w:r>
      <w:r w:rsidR="005A0A06" w:rsidRPr="006A5F60">
        <w:rPr>
          <w:rFonts w:ascii="Arial" w:hAnsi="Arial" w:cs="Arial"/>
          <w:spacing w:val="-2"/>
        </w:rPr>
        <w:t>Stratégia na zabezpečenie inteligentného, ud</w:t>
      </w:r>
      <w:r w:rsidRPr="006A5F60">
        <w:rPr>
          <w:rFonts w:ascii="Arial" w:hAnsi="Arial" w:cs="Arial"/>
          <w:spacing w:val="-2"/>
        </w:rPr>
        <w:t>ržateľného a </w:t>
      </w:r>
      <w:proofErr w:type="spellStart"/>
      <w:r w:rsidRPr="006A5F60">
        <w:rPr>
          <w:rFonts w:ascii="Arial" w:hAnsi="Arial" w:cs="Arial"/>
          <w:spacing w:val="-2"/>
        </w:rPr>
        <w:t>inkluzívneho</w:t>
      </w:r>
      <w:proofErr w:type="spellEnd"/>
      <w:r w:rsidRPr="006A5F60">
        <w:rPr>
          <w:rFonts w:ascii="Arial" w:hAnsi="Arial" w:cs="Arial"/>
          <w:spacing w:val="-2"/>
        </w:rPr>
        <w:t xml:space="preserve"> rastu,</w:t>
      </w:r>
    </w:p>
    <w:p w14:paraId="0F83BB4A" w14:textId="77777777" w:rsidR="006E3F06" w:rsidRPr="006A5F60" w:rsidRDefault="006E3F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Strategické usmernenia Spoločenstva,</w:t>
      </w:r>
    </w:p>
    <w:p w14:paraId="4BB4C0C7" w14:textId="77777777" w:rsidR="006E3F06" w:rsidRPr="006A5F60" w:rsidRDefault="006E3F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Lisabonská stratégia,</w:t>
      </w:r>
    </w:p>
    <w:p w14:paraId="7054634A" w14:textId="77777777" w:rsidR="006E3F06" w:rsidRPr="006A5F60" w:rsidRDefault="005A0A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Odporúčania Rady, ktoré sa týka národného programu reforiem Slovenska</w:t>
      </w:r>
      <w:r w:rsidR="006E3F06" w:rsidRPr="006A5F60">
        <w:rPr>
          <w:rFonts w:ascii="Arial" w:hAnsi="Arial" w:cs="Arial"/>
        </w:rPr>
        <w:t>,</w:t>
      </w:r>
      <w:r w:rsidRPr="006A5F60">
        <w:rPr>
          <w:rFonts w:ascii="Arial" w:hAnsi="Arial" w:cs="Arial"/>
        </w:rPr>
        <w:t xml:space="preserve"> </w:t>
      </w:r>
    </w:p>
    <w:p w14:paraId="7071F548" w14:textId="77777777" w:rsidR="005A0A06" w:rsidRPr="006A5F60" w:rsidRDefault="005A0A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Pozičný dokument EK</w:t>
      </w:r>
      <w:r w:rsidR="006E3F06" w:rsidRPr="006A5F60">
        <w:rPr>
          <w:rFonts w:ascii="Arial" w:hAnsi="Arial" w:cs="Arial"/>
        </w:rPr>
        <w:t>,</w:t>
      </w:r>
    </w:p>
    <w:p w14:paraId="5EDBBE78" w14:textId="77777777" w:rsidR="006E3F06" w:rsidRPr="006A5F60" w:rsidRDefault="006E3F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Legislatíva ES v oblasti kohéznej politiky</w:t>
      </w:r>
      <w:r w:rsidR="00F01880" w:rsidRPr="006A5F60">
        <w:rPr>
          <w:rFonts w:ascii="Arial" w:hAnsi="Arial" w:cs="Arial"/>
        </w:rPr>
        <w:t>.</w:t>
      </w:r>
    </w:p>
    <w:p w14:paraId="03E1DECA" w14:textId="5586EBF0" w:rsidR="001C3089" w:rsidRPr="006A5F60" w:rsidRDefault="001C3089" w:rsidP="00E42DB0">
      <w:pPr>
        <w:spacing w:before="80" w:after="60" w:line="276" w:lineRule="auto"/>
        <w:jc w:val="both"/>
        <w:rPr>
          <w:i/>
          <w:sz w:val="22"/>
          <w:szCs w:val="22"/>
        </w:rPr>
      </w:pPr>
      <w:r w:rsidRPr="006A5F60">
        <w:rPr>
          <w:i/>
          <w:sz w:val="22"/>
          <w:szCs w:val="22"/>
        </w:rPr>
        <w:t>Strategické dokumenty a politiky SR</w:t>
      </w:r>
    </w:p>
    <w:p w14:paraId="0B2C9B6A" w14:textId="117C7D02" w:rsidR="00F01880" w:rsidRPr="006A5F60" w:rsidRDefault="006E3F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Národná stratégia trvalo</w:t>
      </w:r>
      <w:r w:rsidR="00677249" w:rsidRPr="006A5F60">
        <w:rPr>
          <w:rFonts w:ascii="Arial" w:hAnsi="Arial" w:cs="Arial"/>
        </w:rPr>
        <w:t xml:space="preserve"> </w:t>
      </w:r>
      <w:r w:rsidRPr="006A5F60">
        <w:rPr>
          <w:rFonts w:ascii="Arial" w:hAnsi="Arial" w:cs="Arial"/>
        </w:rPr>
        <w:t>udržateľného rozvoja</w:t>
      </w:r>
      <w:r w:rsidR="00F01880" w:rsidRPr="006A5F60">
        <w:rPr>
          <w:rFonts w:ascii="Arial" w:hAnsi="Arial" w:cs="Arial"/>
        </w:rPr>
        <w:t>,</w:t>
      </w:r>
    </w:p>
    <w:p w14:paraId="79E21799" w14:textId="71B04B7B" w:rsidR="007C54F5" w:rsidRPr="006A5F60" w:rsidRDefault="007C54F5"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lastRenderedPageBreak/>
        <w:t>Strategický plán rozvoja dopravnej infraštruktúry SR do roku 2020</w:t>
      </w:r>
    </w:p>
    <w:p w14:paraId="7B0B812F" w14:textId="0367E0A3" w:rsidR="007C54F5" w:rsidRPr="006A5F60" w:rsidRDefault="007C54F5"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Stratégia rozvoja verejnej osobnej a nemotorovej dopravy SR do roku 2020</w:t>
      </w:r>
    </w:p>
    <w:p w14:paraId="4952F58B" w14:textId="77777777" w:rsidR="006E3F06" w:rsidRPr="006A5F60" w:rsidRDefault="006E3F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 xml:space="preserve">Národná stratégia rozvoja cyklistickej dopravy a cykloturistiky SR, </w:t>
      </w:r>
    </w:p>
    <w:p w14:paraId="0EA2ACA4" w14:textId="77777777" w:rsidR="006E3F06" w:rsidRPr="006A5F60" w:rsidRDefault="00137464"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Koncepcia zabezpečenia výkonu súdnych rozhodnutí v zariadeniach sociálnoprávnej ochrany detí a sociálnej kurately detí /Plán transformácie a </w:t>
      </w:r>
      <w:proofErr w:type="spellStart"/>
      <w:r w:rsidRPr="006A5F60">
        <w:rPr>
          <w:rFonts w:ascii="Arial" w:hAnsi="Arial" w:cs="Arial"/>
        </w:rPr>
        <w:t>deinštitucionalizácie</w:t>
      </w:r>
      <w:proofErr w:type="spellEnd"/>
      <w:r w:rsidRPr="006A5F60">
        <w:rPr>
          <w:rFonts w:ascii="Arial" w:hAnsi="Arial" w:cs="Arial"/>
        </w:rPr>
        <w:t xml:space="preserve"> náhradnej starostlivosti</w:t>
      </w:r>
      <w:r w:rsidR="006E3F06" w:rsidRPr="006A5F60">
        <w:rPr>
          <w:rFonts w:ascii="Arial" w:hAnsi="Arial" w:cs="Arial"/>
        </w:rPr>
        <w:t>,</w:t>
      </w:r>
    </w:p>
    <w:p w14:paraId="11C5CC93" w14:textId="77777777" w:rsidR="00F01880" w:rsidRPr="006A5F60" w:rsidRDefault="006E3F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Národný akčný plán prechodu z </w:t>
      </w:r>
      <w:r w:rsidR="00137464" w:rsidRPr="006A5F60">
        <w:rPr>
          <w:rFonts w:ascii="Arial" w:hAnsi="Arial" w:cs="Arial"/>
        </w:rPr>
        <w:t>inštitucionálnej</w:t>
      </w:r>
      <w:r w:rsidRPr="006A5F60">
        <w:rPr>
          <w:rFonts w:ascii="Arial" w:hAnsi="Arial" w:cs="Arial"/>
        </w:rPr>
        <w:t xml:space="preserve"> na komunitnú starostlivosť v systéme sociálnych služieb</w:t>
      </w:r>
      <w:r w:rsidR="00F01880" w:rsidRPr="006A5F60">
        <w:rPr>
          <w:rFonts w:ascii="Arial" w:hAnsi="Arial" w:cs="Arial"/>
        </w:rPr>
        <w:t>,</w:t>
      </w:r>
    </w:p>
    <w:p w14:paraId="683B790E" w14:textId="4CA00183" w:rsidR="00F31CA8" w:rsidRPr="006A5F60" w:rsidRDefault="00F31CA8"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Implementačná stratégia – systém integrovaného poskytovania zdravotnej starostlivosti</w:t>
      </w:r>
    </w:p>
    <w:p w14:paraId="26E26EED" w14:textId="57C64DDE" w:rsidR="007C54F5" w:rsidRPr="006A5F60" w:rsidRDefault="007C54F5"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Strategický rámec starostlivosti o zdravie pre roky 2014 – 2020</w:t>
      </w:r>
    </w:p>
    <w:p w14:paraId="6C45D155" w14:textId="77777777" w:rsidR="00F01880" w:rsidRPr="006A5F60" w:rsidRDefault="00F6675E"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 xml:space="preserve">Štátne vzdelávacie programy, </w:t>
      </w:r>
    </w:p>
    <w:p w14:paraId="4D7C90FB" w14:textId="77777777" w:rsidR="006E3F06" w:rsidRPr="006A5F60" w:rsidRDefault="006E3F06"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Koncepcia územného rozvoja Slovenska.</w:t>
      </w:r>
    </w:p>
    <w:p w14:paraId="5A60BEC5" w14:textId="4C836E3F" w:rsidR="007C54F5" w:rsidRPr="006A5F60" w:rsidRDefault="007C54F5"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Vodný plán Slovenska</w:t>
      </w:r>
    </w:p>
    <w:p w14:paraId="238863A7" w14:textId="4263B497" w:rsidR="00F31CA8" w:rsidRPr="006A5F60" w:rsidRDefault="00F31CA8"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Plán rozvoja verejných vodovodov pre územie SR</w:t>
      </w:r>
    </w:p>
    <w:p w14:paraId="75DC6E8E" w14:textId="0C1932E8" w:rsidR="007C54F5" w:rsidRPr="006A5F60" w:rsidRDefault="00F31CA8"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Stratégia adaptácie SR na nepriaznivé dôsledky zmeny klímy</w:t>
      </w:r>
    </w:p>
    <w:p w14:paraId="281CCADF" w14:textId="741D2799" w:rsidR="00F818A2" w:rsidRPr="006A5F60" w:rsidRDefault="00F818A2"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Stratégia obnovy fondu bytových a nebytových budov v Slovenskej republike</w:t>
      </w:r>
    </w:p>
    <w:p w14:paraId="280D69E5" w14:textId="38E0EE25" w:rsidR="00F818A2" w:rsidRPr="006A5F60" w:rsidRDefault="00F818A2"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Energetická politika SR</w:t>
      </w:r>
    </w:p>
    <w:p w14:paraId="1A940023" w14:textId="459DDA95" w:rsidR="00F31CA8" w:rsidRPr="006A5F60" w:rsidRDefault="00F818A2" w:rsidP="0087675E">
      <w:pPr>
        <w:pStyle w:val="Odsekzoznamu"/>
        <w:numPr>
          <w:ilvl w:val="0"/>
          <w:numId w:val="1"/>
        </w:numPr>
        <w:spacing w:after="0"/>
        <w:ind w:left="567" w:hanging="142"/>
        <w:contextualSpacing w:val="0"/>
        <w:jc w:val="both"/>
        <w:rPr>
          <w:rFonts w:ascii="Arial" w:hAnsi="Arial" w:cs="Arial"/>
        </w:rPr>
      </w:pPr>
      <w:r w:rsidRPr="006A5F60">
        <w:rPr>
          <w:rFonts w:ascii="Arial" w:hAnsi="Arial" w:cs="Arial"/>
        </w:rPr>
        <w:t>Národný plán zameraný na zvyšovanie počtu budov s takmer nulovou potrebou energie</w:t>
      </w:r>
    </w:p>
    <w:p w14:paraId="53D76583" w14:textId="77777777" w:rsidR="00BF3AB9" w:rsidRPr="006A5F60" w:rsidRDefault="00BF3AB9" w:rsidP="00BF3AB9">
      <w:pPr>
        <w:pStyle w:val="Odsekzoznamu"/>
        <w:spacing w:after="0"/>
        <w:ind w:left="567"/>
        <w:contextualSpacing w:val="0"/>
        <w:jc w:val="both"/>
        <w:rPr>
          <w:rFonts w:ascii="Arial" w:hAnsi="Arial" w:cs="Arial"/>
        </w:rPr>
      </w:pPr>
    </w:p>
    <w:p w14:paraId="36CE06FE" w14:textId="61377CA1" w:rsidR="00E54ACB" w:rsidRPr="006A5F60" w:rsidRDefault="00E7729B" w:rsidP="0087675E">
      <w:pPr>
        <w:spacing w:before="80" w:line="276" w:lineRule="auto"/>
        <w:ind w:left="284" w:hanging="284"/>
        <w:jc w:val="both"/>
        <w:rPr>
          <w:b/>
          <w:bCs/>
          <w:sz w:val="22"/>
          <w:szCs w:val="22"/>
        </w:rPr>
      </w:pPr>
      <w:r w:rsidRPr="006A5F60">
        <w:rPr>
          <w:b/>
          <w:bCs/>
          <w:sz w:val="22"/>
          <w:szCs w:val="22"/>
        </w:rPr>
        <w:t>8</w:t>
      </w:r>
      <w:r w:rsidR="00D6402D" w:rsidRPr="006A5F60">
        <w:rPr>
          <w:b/>
          <w:bCs/>
          <w:sz w:val="22"/>
          <w:szCs w:val="22"/>
        </w:rPr>
        <w:t>.</w:t>
      </w:r>
      <w:r w:rsidR="00E54ACB" w:rsidRPr="006A5F60">
        <w:rPr>
          <w:b/>
          <w:bCs/>
          <w:sz w:val="22"/>
          <w:szCs w:val="22"/>
        </w:rPr>
        <w:tab/>
        <w:t>Orgán kompetentný na jeho prijatie</w:t>
      </w:r>
    </w:p>
    <w:p w14:paraId="17AB6BCA" w14:textId="5198A493" w:rsidR="00BF3AB9" w:rsidRPr="006A5F60" w:rsidRDefault="00BF3AB9" w:rsidP="00E42DB0">
      <w:pPr>
        <w:spacing w:before="80"/>
        <w:jc w:val="both"/>
        <w:rPr>
          <w:sz w:val="22"/>
          <w:szCs w:val="22"/>
        </w:rPr>
      </w:pPr>
      <w:r w:rsidRPr="006A5F60">
        <w:rPr>
          <w:sz w:val="22"/>
          <w:szCs w:val="22"/>
        </w:rPr>
        <w:t>Monitorovací výbor pre IROP</w:t>
      </w:r>
    </w:p>
    <w:p w14:paraId="242FC83B" w14:textId="2997DCAE" w:rsidR="00FD124E" w:rsidRPr="006A5F60" w:rsidRDefault="00E54ACB" w:rsidP="00E42DB0">
      <w:pPr>
        <w:spacing w:before="80"/>
        <w:jc w:val="both"/>
        <w:rPr>
          <w:sz w:val="22"/>
          <w:szCs w:val="22"/>
        </w:rPr>
      </w:pPr>
      <w:r w:rsidRPr="006A5F60">
        <w:rPr>
          <w:sz w:val="22"/>
          <w:szCs w:val="22"/>
        </w:rPr>
        <w:t xml:space="preserve">Európska komisia </w:t>
      </w:r>
    </w:p>
    <w:p w14:paraId="41F9DA06" w14:textId="77777777" w:rsidR="00BF3AB9" w:rsidRPr="006A5F60" w:rsidRDefault="00BF3AB9" w:rsidP="00BF3AB9">
      <w:pPr>
        <w:spacing w:before="80"/>
        <w:ind w:left="284"/>
        <w:jc w:val="both"/>
        <w:rPr>
          <w:sz w:val="22"/>
          <w:szCs w:val="22"/>
        </w:rPr>
      </w:pPr>
    </w:p>
    <w:p w14:paraId="0FF2408E" w14:textId="177BC35E" w:rsidR="00E54ACB" w:rsidRPr="006A5F60" w:rsidRDefault="00E7729B" w:rsidP="0087675E">
      <w:pPr>
        <w:spacing w:before="80" w:line="276" w:lineRule="auto"/>
        <w:ind w:left="284" w:hanging="284"/>
        <w:jc w:val="both"/>
        <w:rPr>
          <w:b/>
          <w:bCs/>
          <w:sz w:val="22"/>
          <w:szCs w:val="22"/>
        </w:rPr>
      </w:pPr>
      <w:r w:rsidRPr="006A5F60">
        <w:rPr>
          <w:b/>
          <w:bCs/>
          <w:sz w:val="22"/>
          <w:szCs w:val="22"/>
        </w:rPr>
        <w:t>9</w:t>
      </w:r>
      <w:r w:rsidR="00E54ACB" w:rsidRPr="006A5F60">
        <w:rPr>
          <w:b/>
          <w:bCs/>
          <w:sz w:val="22"/>
          <w:szCs w:val="22"/>
        </w:rPr>
        <w:t>.</w:t>
      </w:r>
      <w:r w:rsidR="00E54ACB" w:rsidRPr="006A5F60">
        <w:rPr>
          <w:b/>
          <w:bCs/>
          <w:sz w:val="22"/>
          <w:szCs w:val="22"/>
        </w:rPr>
        <w:tab/>
        <w:t xml:space="preserve">Druh schvaľovacieho procesu dokumentu </w:t>
      </w:r>
    </w:p>
    <w:p w14:paraId="2B83125D" w14:textId="7B7015BD" w:rsidR="00BF3AB9" w:rsidRPr="006A5F60" w:rsidRDefault="00BF3AB9" w:rsidP="00E42DB0">
      <w:pPr>
        <w:spacing w:before="80" w:line="276" w:lineRule="auto"/>
        <w:jc w:val="both"/>
        <w:rPr>
          <w:sz w:val="22"/>
          <w:szCs w:val="22"/>
        </w:rPr>
      </w:pPr>
      <w:r w:rsidRPr="006A5F60">
        <w:rPr>
          <w:sz w:val="22"/>
          <w:szCs w:val="22"/>
        </w:rPr>
        <w:t>Uznesenie Monitorovacieho výboru pre IROP</w:t>
      </w:r>
    </w:p>
    <w:p w14:paraId="23AFBD5C" w14:textId="5934B5EA" w:rsidR="00E54ACB" w:rsidRPr="006A5F60" w:rsidRDefault="00403E06" w:rsidP="00E42DB0">
      <w:pPr>
        <w:spacing w:before="80" w:line="276" w:lineRule="auto"/>
        <w:jc w:val="both"/>
        <w:rPr>
          <w:sz w:val="22"/>
          <w:szCs w:val="22"/>
        </w:rPr>
      </w:pPr>
      <w:r w:rsidRPr="006A5F60">
        <w:rPr>
          <w:sz w:val="22"/>
          <w:szCs w:val="22"/>
        </w:rPr>
        <w:t>Vykonávacie r</w:t>
      </w:r>
      <w:r w:rsidR="00E54ACB" w:rsidRPr="006A5F60">
        <w:rPr>
          <w:sz w:val="22"/>
          <w:szCs w:val="22"/>
        </w:rPr>
        <w:t>ozhodnutie Európskej komisie</w:t>
      </w:r>
    </w:p>
    <w:p w14:paraId="2A830E35" w14:textId="77777777" w:rsidR="00BF3AB9" w:rsidRPr="006A5F60" w:rsidRDefault="00BF3AB9" w:rsidP="0087675E">
      <w:pPr>
        <w:spacing w:before="80" w:line="276" w:lineRule="auto"/>
        <w:ind w:left="284"/>
        <w:jc w:val="both"/>
        <w:rPr>
          <w:sz w:val="22"/>
          <w:szCs w:val="22"/>
        </w:rPr>
      </w:pPr>
    </w:p>
    <w:p w14:paraId="43267E1A" w14:textId="2C9CAD4A" w:rsidR="00E54ACB" w:rsidRPr="006A5F60" w:rsidRDefault="00E54ACB" w:rsidP="0087675E">
      <w:pPr>
        <w:spacing w:before="80" w:line="276" w:lineRule="auto"/>
        <w:ind w:left="357" w:hanging="357"/>
        <w:rPr>
          <w:b/>
          <w:bCs/>
          <w:sz w:val="22"/>
          <w:szCs w:val="22"/>
        </w:rPr>
      </w:pPr>
      <w:r w:rsidRPr="006A5F60">
        <w:rPr>
          <w:b/>
          <w:bCs/>
          <w:sz w:val="22"/>
          <w:szCs w:val="22"/>
        </w:rPr>
        <w:t>III.</w:t>
      </w:r>
      <w:r w:rsidRPr="006A5F60">
        <w:rPr>
          <w:b/>
          <w:bCs/>
          <w:sz w:val="22"/>
          <w:szCs w:val="22"/>
        </w:rPr>
        <w:tab/>
        <w:t>Základné údaje o predpokladaných vplyvoch strategického dokumentu na životné prostredie vrátane zdravia</w:t>
      </w:r>
    </w:p>
    <w:p w14:paraId="11B0C89A" w14:textId="77777777" w:rsidR="00E42DB0" w:rsidRPr="006A5F60" w:rsidRDefault="00E42DB0" w:rsidP="0087675E">
      <w:pPr>
        <w:spacing w:before="80" w:line="276" w:lineRule="auto"/>
        <w:ind w:left="357" w:hanging="357"/>
        <w:rPr>
          <w:b/>
          <w:bCs/>
          <w:sz w:val="22"/>
          <w:szCs w:val="22"/>
        </w:rPr>
      </w:pPr>
    </w:p>
    <w:p w14:paraId="11D77DEE" w14:textId="19A1464D" w:rsidR="00E54ACB" w:rsidRPr="006A5F60" w:rsidRDefault="00E54ACB" w:rsidP="0087675E">
      <w:pPr>
        <w:spacing w:before="80" w:line="276" w:lineRule="auto"/>
        <w:ind w:left="284" w:hanging="284"/>
        <w:jc w:val="both"/>
        <w:rPr>
          <w:b/>
          <w:bCs/>
          <w:sz w:val="22"/>
          <w:szCs w:val="22"/>
        </w:rPr>
      </w:pPr>
      <w:r w:rsidRPr="006A5F60">
        <w:rPr>
          <w:b/>
          <w:bCs/>
          <w:sz w:val="22"/>
          <w:szCs w:val="22"/>
        </w:rPr>
        <w:t>1.</w:t>
      </w:r>
      <w:r w:rsidRPr="006A5F60">
        <w:rPr>
          <w:b/>
          <w:bCs/>
          <w:sz w:val="22"/>
          <w:szCs w:val="22"/>
        </w:rPr>
        <w:tab/>
        <w:t>Požiadavky na vstupy.</w:t>
      </w:r>
    </w:p>
    <w:p w14:paraId="0C2CADB1" w14:textId="6E56AA4C" w:rsidR="00403E06" w:rsidRPr="006A5F60" w:rsidRDefault="00212E3B" w:rsidP="00E42DB0">
      <w:pPr>
        <w:spacing w:before="80" w:line="276" w:lineRule="auto"/>
        <w:jc w:val="both"/>
        <w:rPr>
          <w:sz w:val="22"/>
          <w:szCs w:val="22"/>
        </w:rPr>
      </w:pPr>
      <w:r w:rsidRPr="006A5F60">
        <w:rPr>
          <w:sz w:val="22"/>
          <w:szCs w:val="22"/>
        </w:rPr>
        <w:t>Vstupy pre IROP predstavujú finančné prostriedky z Európskeho fondu regionálneho rozvoja, štátne</w:t>
      </w:r>
      <w:r w:rsidR="002E202A" w:rsidRPr="006A5F60">
        <w:rPr>
          <w:sz w:val="22"/>
          <w:szCs w:val="22"/>
        </w:rPr>
        <w:t>ho</w:t>
      </w:r>
      <w:r w:rsidRPr="006A5F60">
        <w:rPr>
          <w:sz w:val="22"/>
          <w:szCs w:val="22"/>
        </w:rPr>
        <w:t xml:space="preserve"> rozpočtu </w:t>
      </w:r>
      <w:r w:rsidR="00E42DB0" w:rsidRPr="006A5F60">
        <w:rPr>
          <w:sz w:val="22"/>
          <w:szCs w:val="22"/>
        </w:rPr>
        <w:t>Slovenskej republiky</w:t>
      </w:r>
      <w:r w:rsidRPr="006A5F60">
        <w:rPr>
          <w:sz w:val="22"/>
          <w:szCs w:val="22"/>
        </w:rPr>
        <w:t xml:space="preserve"> a prostriedky z vlastných zdrojov prijímateľov. </w:t>
      </w:r>
      <w:r w:rsidR="00403E06" w:rsidRPr="006A5F60">
        <w:rPr>
          <w:sz w:val="22"/>
          <w:szCs w:val="22"/>
        </w:rPr>
        <w:t xml:space="preserve">Návrh zmeny IROP vyplýva z uznesenia vlády SR č. 806/2022, ktorým vláda SR schválila materiál „Návrh na riešenie dopadov energetickej krízy prostredníctvom EŠIF zdrojov programového obdobia 2014 – 2020 a rámec implementácie (SAFE-CARE)“. V zmysle úlohy C.1 bolo predmetným uznesením RO pre IROP uložené predložiť EK revíziu operačného programu s cieľom vyčlenenia zdrojov na opatrenia iniciatívy SAFE. V tejto súvislosti RO IROP vykonal analýzu všetkých prioritných osí s cieľom preskúmať možnosti podporiť implementáciu opatrení na riešenie dopadov energetickej krízy, ako aj s cieľom urýchliť implementáciu IROP a dočerpať všetky pridelené zdroje. Prehľad finančných presunov v členení podľa prioritných osí </w:t>
      </w:r>
      <w:r w:rsidR="00493CD6" w:rsidRPr="006A5F60">
        <w:rPr>
          <w:sz w:val="22"/>
          <w:szCs w:val="22"/>
        </w:rPr>
        <w:t xml:space="preserve">je uvedený v tab. </w:t>
      </w:r>
      <w:r w:rsidR="00403E06" w:rsidRPr="006A5F60">
        <w:rPr>
          <w:sz w:val="22"/>
          <w:szCs w:val="22"/>
        </w:rPr>
        <w:t>1.</w:t>
      </w:r>
    </w:p>
    <w:p w14:paraId="1FB9ADB0" w14:textId="77777777" w:rsidR="00E42DB0" w:rsidRPr="006A5F60" w:rsidRDefault="00E42DB0" w:rsidP="0087675E">
      <w:pPr>
        <w:spacing w:before="80" w:line="276" w:lineRule="auto"/>
        <w:ind w:left="284"/>
        <w:jc w:val="both"/>
        <w:rPr>
          <w:sz w:val="22"/>
          <w:szCs w:val="22"/>
        </w:rPr>
      </w:pPr>
    </w:p>
    <w:p w14:paraId="16EF445B" w14:textId="77777777" w:rsidR="00E54ACB" w:rsidRPr="006A5F60" w:rsidRDefault="00E54ACB" w:rsidP="0087675E">
      <w:pPr>
        <w:spacing w:before="80" w:line="276" w:lineRule="auto"/>
        <w:ind w:left="284" w:hanging="284"/>
        <w:jc w:val="both"/>
        <w:rPr>
          <w:b/>
          <w:bCs/>
          <w:sz w:val="22"/>
          <w:szCs w:val="22"/>
        </w:rPr>
      </w:pPr>
      <w:r w:rsidRPr="006A5F60">
        <w:rPr>
          <w:b/>
          <w:bCs/>
          <w:sz w:val="22"/>
          <w:szCs w:val="22"/>
        </w:rPr>
        <w:t>2.</w:t>
      </w:r>
      <w:r w:rsidRPr="006A5F60">
        <w:rPr>
          <w:b/>
          <w:bCs/>
          <w:sz w:val="22"/>
          <w:szCs w:val="22"/>
        </w:rPr>
        <w:tab/>
        <w:t>Údaje o výstupoch.</w:t>
      </w:r>
    </w:p>
    <w:p w14:paraId="03984685" w14:textId="05B88E8E" w:rsidR="00493CD6" w:rsidRPr="006A5F60" w:rsidRDefault="00E42DB0" w:rsidP="008F1E19">
      <w:pPr>
        <w:spacing w:before="80" w:line="276" w:lineRule="auto"/>
        <w:jc w:val="both"/>
        <w:rPr>
          <w:rFonts w:eastAsia="Arial Narrow"/>
          <w:spacing w:val="2"/>
          <w:sz w:val="22"/>
          <w:szCs w:val="22"/>
        </w:rPr>
      </w:pPr>
      <w:r w:rsidRPr="006A5F60">
        <w:rPr>
          <w:sz w:val="22"/>
          <w:szCs w:val="22"/>
        </w:rPr>
        <w:t xml:space="preserve">Predmetom zmeny </w:t>
      </w:r>
      <w:r w:rsidR="005D4C93" w:rsidRPr="006A5F60">
        <w:rPr>
          <w:sz w:val="22"/>
          <w:szCs w:val="22"/>
        </w:rPr>
        <w:t xml:space="preserve">IROP, verzia </w:t>
      </w:r>
      <w:r w:rsidR="00403E06" w:rsidRPr="006A5F60">
        <w:rPr>
          <w:sz w:val="22"/>
          <w:szCs w:val="22"/>
        </w:rPr>
        <w:t>14</w:t>
      </w:r>
      <w:r w:rsidR="005D4C93" w:rsidRPr="006A5F60">
        <w:rPr>
          <w:sz w:val="22"/>
          <w:szCs w:val="22"/>
        </w:rPr>
        <w:t xml:space="preserve">.0 je predovšetkým vytvorenie novej prioritnej osi č. </w:t>
      </w:r>
      <w:r w:rsidR="00403E06" w:rsidRPr="006A5F60">
        <w:rPr>
          <w:sz w:val="22"/>
          <w:szCs w:val="22"/>
        </w:rPr>
        <w:t xml:space="preserve">10 </w:t>
      </w:r>
      <w:r w:rsidR="00493CD6" w:rsidRPr="006A5F60">
        <w:rPr>
          <w:rFonts w:eastAsia="Arial Narrow"/>
          <w:spacing w:val="2"/>
          <w:sz w:val="22"/>
          <w:szCs w:val="22"/>
        </w:rPr>
        <w:t>– Podpora pre zmiernenie dôsledkov energetickej krízy – SAFE</w:t>
      </w:r>
      <w:r w:rsidR="005D4C93" w:rsidRPr="006A5F60">
        <w:rPr>
          <w:sz w:val="22"/>
          <w:szCs w:val="22"/>
        </w:rPr>
        <w:t xml:space="preserve"> s tým súvisiaca úprava finančného rámca </w:t>
      </w:r>
      <w:r w:rsidR="005D4C93" w:rsidRPr="006A5F60">
        <w:rPr>
          <w:sz w:val="22"/>
          <w:szCs w:val="22"/>
        </w:rPr>
        <w:lastRenderedPageBreak/>
        <w:t>IROP formou interných presunov.</w:t>
      </w:r>
      <w:r w:rsidR="008F1E19" w:rsidRPr="006A5F60">
        <w:rPr>
          <w:sz w:val="22"/>
          <w:szCs w:val="22"/>
        </w:rPr>
        <w:t xml:space="preserve"> </w:t>
      </w:r>
      <w:r w:rsidR="00493CD6" w:rsidRPr="006A5F60">
        <w:rPr>
          <w:rFonts w:eastAsia="Arial Narrow"/>
          <w:spacing w:val="2"/>
          <w:sz w:val="22"/>
          <w:szCs w:val="22"/>
        </w:rPr>
        <w:t xml:space="preserve">Hlavným cieľom navrhovanej zmeny IROP, verzia 14.0 je podpora opatrení na riešenie dôsledkov energetickej krízy so zameraním na kompenzáciu zvýšených cien energií pre zraniteľné domácnosti, ktoré v rokoch 2022 - 2023 čelia inflačnému tlaku na rast životných nákladov. Finančné prostriedky IROP, presunuté do tejto prioritnej osi, budú využité na podporu úhrady nákladov na energie pre 77 871 zraniteľných domácností. </w:t>
      </w:r>
      <w:r w:rsidR="00F94C45" w:rsidRPr="006A5F60">
        <w:rPr>
          <w:rFonts w:eastAsia="Arial Narrow"/>
          <w:spacing w:val="2"/>
          <w:sz w:val="22"/>
          <w:szCs w:val="22"/>
        </w:rPr>
        <w:t xml:space="preserve">Ako ďalšie navrhované zmeny v strategickom dokumente sú venované úprave finančného plánu tak aby mohlo byť zabezpečené </w:t>
      </w:r>
      <w:r w:rsidR="00F94C45" w:rsidRPr="006A5F60">
        <w:rPr>
          <w:sz w:val="22"/>
          <w:szCs w:val="22"/>
        </w:rPr>
        <w:t>maximálne využitie disponibilných zdrojov európskych štrukturálnych a investičných fondov.</w:t>
      </w:r>
    </w:p>
    <w:p w14:paraId="404792C7" w14:textId="49E561A8" w:rsidR="00E54ACB" w:rsidRPr="006A5F60" w:rsidRDefault="00997776" w:rsidP="00E42DB0">
      <w:pPr>
        <w:spacing w:before="80" w:line="276" w:lineRule="auto"/>
        <w:jc w:val="both"/>
        <w:rPr>
          <w:sz w:val="22"/>
          <w:szCs w:val="22"/>
        </w:rPr>
      </w:pPr>
      <w:r w:rsidRPr="006A5F60">
        <w:rPr>
          <w:sz w:val="22"/>
          <w:szCs w:val="22"/>
        </w:rPr>
        <w:t>Samotný dokument IROP so sledovaním zmien tvorí prílohu tohto oznámenia</w:t>
      </w:r>
      <w:r w:rsidR="006A5BEB" w:rsidRPr="006A5F60">
        <w:rPr>
          <w:sz w:val="22"/>
          <w:szCs w:val="22"/>
        </w:rPr>
        <w:t xml:space="preserve">, názov prílohy: „Integrovaný regionálny operačný program 2014 – 2020, verzia </w:t>
      </w:r>
      <w:r w:rsidR="00493CD6" w:rsidRPr="006A5F60">
        <w:rPr>
          <w:sz w:val="22"/>
          <w:szCs w:val="22"/>
        </w:rPr>
        <w:t>14</w:t>
      </w:r>
      <w:r w:rsidR="00072B20" w:rsidRPr="006A5F60">
        <w:rPr>
          <w:sz w:val="22"/>
          <w:szCs w:val="22"/>
        </w:rPr>
        <w:t>.0</w:t>
      </w:r>
      <w:r w:rsidR="006A5BEB" w:rsidRPr="006A5F60">
        <w:rPr>
          <w:sz w:val="22"/>
          <w:szCs w:val="22"/>
        </w:rPr>
        <w:t>“</w:t>
      </w:r>
      <w:r w:rsidRPr="006A5F60">
        <w:rPr>
          <w:sz w:val="22"/>
          <w:szCs w:val="22"/>
        </w:rPr>
        <w:t>.</w:t>
      </w:r>
      <w:r w:rsidR="006A5BEB" w:rsidRPr="006A5F60">
        <w:rPr>
          <w:sz w:val="22"/>
          <w:szCs w:val="22"/>
        </w:rPr>
        <w:t xml:space="preserve"> Príloha obsahuje všetky zmeny podľa bod</w:t>
      </w:r>
      <w:r w:rsidR="00E7729B" w:rsidRPr="006A5F60">
        <w:rPr>
          <w:sz w:val="22"/>
          <w:szCs w:val="22"/>
        </w:rPr>
        <w:t>u 4</w:t>
      </w:r>
      <w:r w:rsidR="006A5BEB" w:rsidRPr="006A5F60">
        <w:rPr>
          <w:sz w:val="22"/>
          <w:szCs w:val="22"/>
        </w:rPr>
        <w:t xml:space="preserve"> časti II. tohto dokumentu.</w:t>
      </w:r>
    </w:p>
    <w:p w14:paraId="3B727D89" w14:textId="77777777" w:rsidR="00E42DB0" w:rsidRPr="006A5F60" w:rsidRDefault="00E42DB0" w:rsidP="0087675E">
      <w:pPr>
        <w:spacing w:before="80" w:line="276" w:lineRule="auto"/>
        <w:ind w:left="284"/>
        <w:jc w:val="both"/>
        <w:rPr>
          <w:sz w:val="22"/>
          <w:szCs w:val="22"/>
        </w:rPr>
      </w:pPr>
    </w:p>
    <w:p w14:paraId="0AE555BC" w14:textId="77777777" w:rsidR="00FD124E" w:rsidRPr="006A5F60" w:rsidRDefault="00E54ACB" w:rsidP="0087675E">
      <w:pPr>
        <w:spacing w:before="120" w:line="276" w:lineRule="auto"/>
        <w:ind w:left="284" w:hanging="284"/>
        <w:jc w:val="both"/>
        <w:rPr>
          <w:b/>
          <w:bCs/>
          <w:sz w:val="22"/>
          <w:szCs w:val="22"/>
        </w:rPr>
      </w:pPr>
      <w:r w:rsidRPr="006A5F60">
        <w:rPr>
          <w:b/>
          <w:bCs/>
          <w:sz w:val="22"/>
          <w:szCs w:val="22"/>
        </w:rPr>
        <w:t>3.</w:t>
      </w:r>
      <w:r w:rsidRPr="006A5F60">
        <w:rPr>
          <w:b/>
          <w:bCs/>
          <w:sz w:val="22"/>
          <w:szCs w:val="22"/>
        </w:rPr>
        <w:tab/>
        <w:t>Údaje o priamych a nepriamych vplyvoch na životné prostredie.</w:t>
      </w:r>
    </w:p>
    <w:p w14:paraId="7F40F6DE" w14:textId="77777777" w:rsidR="00F94C45" w:rsidRPr="006A5F60" w:rsidRDefault="00F94C45" w:rsidP="00E42DB0">
      <w:pPr>
        <w:widowControl/>
        <w:autoSpaceDE/>
        <w:autoSpaceDN/>
        <w:adjustRightInd/>
        <w:spacing w:before="60" w:line="276" w:lineRule="auto"/>
        <w:jc w:val="both"/>
        <w:rPr>
          <w:sz w:val="22"/>
          <w:szCs w:val="22"/>
        </w:rPr>
      </w:pPr>
    </w:p>
    <w:p w14:paraId="13088947" w14:textId="375A31DE" w:rsidR="00F94C45" w:rsidRPr="006A5F60" w:rsidRDefault="00F94C45" w:rsidP="00E42DB0">
      <w:pPr>
        <w:widowControl/>
        <w:autoSpaceDE/>
        <w:autoSpaceDN/>
        <w:adjustRightInd/>
        <w:spacing w:before="60" w:line="276" w:lineRule="auto"/>
        <w:jc w:val="both"/>
        <w:rPr>
          <w:sz w:val="22"/>
          <w:szCs w:val="22"/>
        </w:rPr>
      </w:pPr>
      <w:r w:rsidRPr="006A5F60">
        <w:rPr>
          <w:sz w:val="22"/>
          <w:szCs w:val="22"/>
        </w:rPr>
        <w:t xml:space="preserve">V súvislosti s navrhovanou zmenou možno očakávať, že vplyvy na životné prostredie v nadväznosti na zmeny jednotlivých prvkov IROP, ktoré sú uvedené vyššie budú svojím rozsahom odlišné od tých, ktoré boli identifikované v procese posudzovania pôvodného návrhu </w:t>
      </w:r>
      <w:r w:rsidR="00786EEF" w:rsidRPr="006A5F60">
        <w:rPr>
          <w:sz w:val="22"/>
          <w:szCs w:val="22"/>
        </w:rPr>
        <w:t>IROP</w:t>
      </w:r>
      <w:r w:rsidRPr="006A5F60">
        <w:rPr>
          <w:sz w:val="22"/>
          <w:szCs w:val="22"/>
        </w:rPr>
        <w:t xml:space="preserve"> podľa zákona č. 24/2006 Z. z. o posudzovaní vplyvov na životné prostredie a o zmene a doplnení niektorých zákonov v znení neskorších predpisov.</w:t>
      </w:r>
    </w:p>
    <w:p w14:paraId="1A37E63F" w14:textId="77777777" w:rsidR="00786EEF" w:rsidRPr="006A5F60" w:rsidRDefault="00786EEF" w:rsidP="00E42DB0">
      <w:pPr>
        <w:widowControl/>
        <w:autoSpaceDE/>
        <w:autoSpaceDN/>
        <w:adjustRightInd/>
        <w:spacing w:before="60" w:line="276" w:lineRule="auto"/>
        <w:jc w:val="both"/>
        <w:rPr>
          <w:sz w:val="22"/>
          <w:szCs w:val="22"/>
        </w:rPr>
      </w:pPr>
    </w:p>
    <w:p w14:paraId="744054C7" w14:textId="01978CFB" w:rsidR="00F94C45" w:rsidRPr="006A5F60" w:rsidRDefault="00F94C45" w:rsidP="00786EEF">
      <w:pPr>
        <w:spacing w:line="276" w:lineRule="auto"/>
        <w:jc w:val="both"/>
        <w:rPr>
          <w:sz w:val="22"/>
          <w:szCs w:val="22"/>
        </w:rPr>
      </w:pPr>
      <w:r w:rsidRPr="006A5F60">
        <w:rPr>
          <w:sz w:val="22"/>
          <w:szCs w:val="22"/>
        </w:rPr>
        <w:t>Vzhľadom na obsah navrhovanej zmeny IROP, verzia 14.0, ktorej hlavným cieľom je podpora opatrení na riešenie dôsledkov energetickej krízy v rámci novovytvorenej prioritnej osi 10</w:t>
      </w:r>
      <w:r w:rsidR="00786EEF" w:rsidRPr="006A5F60">
        <w:rPr>
          <w:sz w:val="22"/>
          <w:szCs w:val="22"/>
        </w:rPr>
        <w:t xml:space="preserve">, ktorá finančne bude naplnená presunom </w:t>
      </w:r>
      <w:r w:rsidRPr="006A5F60">
        <w:rPr>
          <w:sz w:val="22"/>
          <w:szCs w:val="22"/>
        </w:rPr>
        <w:t xml:space="preserve">finančných prostriedkov z jednotlivých oblastí intervencií v rámci PO </w:t>
      </w:r>
      <w:r w:rsidR="00CF096B" w:rsidRPr="006A5F60">
        <w:rPr>
          <w:sz w:val="22"/>
          <w:szCs w:val="22"/>
        </w:rPr>
        <w:t>7</w:t>
      </w:r>
      <w:r w:rsidRPr="006A5F60">
        <w:rPr>
          <w:sz w:val="22"/>
          <w:szCs w:val="22"/>
        </w:rPr>
        <w:t xml:space="preserve"> </w:t>
      </w:r>
      <w:r w:rsidR="00CF096B" w:rsidRPr="006A5F60">
        <w:rPr>
          <w:sz w:val="22"/>
          <w:szCs w:val="22"/>
        </w:rPr>
        <w:t>REACT–EU</w:t>
      </w:r>
      <w:r w:rsidR="00786EEF" w:rsidRPr="006A5F60">
        <w:rPr>
          <w:sz w:val="22"/>
          <w:szCs w:val="22"/>
        </w:rPr>
        <w:t>. Zároveň sa realizujú aj presuny z jednotlivých oblastí intervencií z prioritnej osi 2 Ľahší prístup k efektívnym a kvalitnejším službám, prioritnej osi 3 Mobilizácia kreatívneho potenciálu v regiónoch, prioritnej osi 4</w:t>
      </w:r>
      <w:r w:rsidR="00CF096B" w:rsidRPr="006A5F60">
        <w:rPr>
          <w:sz w:val="22"/>
          <w:szCs w:val="22"/>
        </w:rPr>
        <w:t xml:space="preserve"> </w:t>
      </w:r>
      <w:r w:rsidR="00786EEF" w:rsidRPr="006A5F60">
        <w:rPr>
          <w:sz w:val="22"/>
          <w:szCs w:val="22"/>
        </w:rPr>
        <w:t>Zlepšenie kvality života v regiónoch s dôrazom na životné prostredie a prioritnej osi 5 Miestny rozvoj vedený komunitou do prioritnej osi 1 Bezpečná a ekologická doprava v regiónoch</w:t>
      </w:r>
      <w:r w:rsidRPr="006A5F60">
        <w:rPr>
          <w:sz w:val="22"/>
          <w:szCs w:val="22"/>
        </w:rPr>
        <w:t xml:space="preserve">, </w:t>
      </w:r>
      <w:r w:rsidR="00786EEF" w:rsidRPr="006A5F60">
        <w:rPr>
          <w:sz w:val="22"/>
          <w:szCs w:val="22"/>
        </w:rPr>
        <w:t>môže dôjsť aj k zmene rozsahu, resp. poklesu miery očakávaných pozitívnych vplyvov na životné prostredie po celkovej implementácii programu</w:t>
      </w:r>
      <w:r w:rsidRPr="006A5F60">
        <w:rPr>
          <w:sz w:val="22"/>
          <w:szCs w:val="22"/>
        </w:rPr>
        <w:t>.</w:t>
      </w:r>
    </w:p>
    <w:p w14:paraId="11566D55" w14:textId="77777777" w:rsidR="003C5911" w:rsidRPr="006A5F60" w:rsidRDefault="003C5911" w:rsidP="00E42DB0">
      <w:pPr>
        <w:widowControl/>
        <w:autoSpaceDE/>
        <w:autoSpaceDN/>
        <w:adjustRightInd/>
        <w:spacing w:before="60" w:line="276" w:lineRule="auto"/>
        <w:jc w:val="both"/>
        <w:rPr>
          <w:sz w:val="22"/>
          <w:szCs w:val="22"/>
        </w:rPr>
      </w:pPr>
    </w:p>
    <w:p w14:paraId="24CD5E2B" w14:textId="092E78C6" w:rsidR="00F94C45" w:rsidRPr="006A5F60" w:rsidRDefault="003C5911" w:rsidP="00E42DB0">
      <w:pPr>
        <w:widowControl/>
        <w:autoSpaceDE/>
        <w:autoSpaceDN/>
        <w:adjustRightInd/>
        <w:spacing w:before="60" w:line="276" w:lineRule="auto"/>
        <w:jc w:val="both"/>
        <w:rPr>
          <w:sz w:val="22"/>
          <w:szCs w:val="22"/>
        </w:rPr>
      </w:pPr>
      <w:r w:rsidRPr="006A5F60">
        <w:rPr>
          <w:sz w:val="22"/>
          <w:szCs w:val="22"/>
        </w:rPr>
        <w:t>Predpokladom síce ostáva, že celkový charakter pozitívnych vplyvov IROP na životné prostredie zostane aj po presunoch zdrojov zachovaný, avšak navrhované opatrenia v rámci prioritnej osi 10 „Podpora pre zmiernenie dôsledkov energetickej krízy - SAFE“ sa vyznačujú zameraním odlišným od environmentálneho zamerania opatrení podporovaných v rámci prioritnej osi 1, prioritnej os 4 a prioritnej osi 7.  Vzhľadom na výšku presúvanej sumy a zameranie opatrení v rámci novo vytvorenej prioritnej osi 10, ktoré sa nevyznačuje priamym pozitívnym vplyvom na životné prostredie, sa predpokladá, že celková miera pozitívneho vplyvu IR</w:t>
      </w:r>
      <w:r w:rsidR="00967130" w:rsidRPr="006A5F60">
        <w:rPr>
          <w:sz w:val="22"/>
          <w:szCs w:val="22"/>
        </w:rPr>
        <w:t>O</w:t>
      </w:r>
      <w:r w:rsidRPr="006A5F60">
        <w:rPr>
          <w:sz w:val="22"/>
          <w:szCs w:val="22"/>
        </w:rPr>
        <w:t xml:space="preserve">P na životné prostredie nebude rovnaká v porovnaní s jej predpokladom na základe alokácií zdrojov na prioritnej osi 1, prioritnej os 4 a prioritnej osi 7 v aktuálne platnom znení IROP, verzia 14.0. </w:t>
      </w:r>
    </w:p>
    <w:p w14:paraId="56DC087D" w14:textId="7788AB2F" w:rsidR="00967130" w:rsidRPr="006A5F60" w:rsidRDefault="00967130" w:rsidP="00E42DB0">
      <w:pPr>
        <w:widowControl/>
        <w:autoSpaceDE/>
        <w:autoSpaceDN/>
        <w:adjustRightInd/>
        <w:spacing w:before="60" w:line="276" w:lineRule="auto"/>
        <w:jc w:val="both"/>
        <w:rPr>
          <w:sz w:val="22"/>
          <w:szCs w:val="22"/>
        </w:rPr>
      </w:pPr>
      <w:r w:rsidRPr="006A5F60">
        <w:rPr>
          <w:sz w:val="22"/>
          <w:szCs w:val="22"/>
        </w:rPr>
        <w:t>Novovytvorená prioritná os 10 „Podpora pre zmiernenie dôsledkov energetickej krízy - SAFE“ vzhľadom na jej obsahové zameranie nepredpokladá priamy pozitívny vplyv na životné prostredie.</w:t>
      </w:r>
    </w:p>
    <w:p w14:paraId="1657C7EA" w14:textId="6239D0CF" w:rsidR="003C5911" w:rsidRPr="006A5F60" w:rsidRDefault="003C5911" w:rsidP="00E42DB0">
      <w:pPr>
        <w:widowControl/>
        <w:autoSpaceDE/>
        <w:autoSpaceDN/>
        <w:adjustRightInd/>
        <w:spacing w:before="60" w:line="276" w:lineRule="auto"/>
        <w:jc w:val="both"/>
        <w:rPr>
          <w:sz w:val="22"/>
          <w:szCs w:val="22"/>
        </w:rPr>
      </w:pPr>
    </w:p>
    <w:p w14:paraId="5F0C8E6E" w14:textId="56DCEE44" w:rsidR="00967130" w:rsidRPr="006A5F60" w:rsidRDefault="00967130" w:rsidP="00E42DB0">
      <w:pPr>
        <w:widowControl/>
        <w:autoSpaceDE/>
        <w:autoSpaceDN/>
        <w:adjustRightInd/>
        <w:spacing w:before="60" w:line="276" w:lineRule="auto"/>
        <w:jc w:val="both"/>
        <w:rPr>
          <w:sz w:val="22"/>
          <w:szCs w:val="22"/>
        </w:rPr>
      </w:pPr>
    </w:p>
    <w:p w14:paraId="74AD9DC3" w14:textId="40ADFFC2" w:rsidR="00967130" w:rsidRPr="006A5F60" w:rsidRDefault="00967130" w:rsidP="00E42DB0">
      <w:pPr>
        <w:widowControl/>
        <w:autoSpaceDE/>
        <w:autoSpaceDN/>
        <w:adjustRightInd/>
        <w:spacing w:before="60" w:line="276" w:lineRule="auto"/>
        <w:jc w:val="both"/>
        <w:rPr>
          <w:sz w:val="22"/>
          <w:szCs w:val="22"/>
        </w:rPr>
      </w:pPr>
    </w:p>
    <w:p w14:paraId="6E399CCD" w14:textId="24C57592" w:rsidR="00967130" w:rsidRPr="006A5F60" w:rsidRDefault="00967130" w:rsidP="00E42DB0">
      <w:pPr>
        <w:widowControl/>
        <w:autoSpaceDE/>
        <w:autoSpaceDN/>
        <w:adjustRightInd/>
        <w:spacing w:before="60" w:line="276" w:lineRule="auto"/>
        <w:jc w:val="both"/>
        <w:rPr>
          <w:sz w:val="22"/>
          <w:szCs w:val="22"/>
        </w:rPr>
      </w:pPr>
    </w:p>
    <w:p w14:paraId="463C2B05" w14:textId="4674D144" w:rsidR="00967130" w:rsidRPr="006A5F60" w:rsidRDefault="00967130" w:rsidP="00E42DB0">
      <w:pPr>
        <w:widowControl/>
        <w:autoSpaceDE/>
        <w:autoSpaceDN/>
        <w:adjustRightInd/>
        <w:spacing w:before="60" w:line="276" w:lineRule="auto"/>
        <w:jc w:val="both"/>
        <w:rPr>
          <w:sz w:val="22"/>
          <w:szCs w:val="22"/>
        </w:rPr>
      </w:pPr>
    </w:p>
    <w:p w14:paraId="48A7D666" w14:textId="77777777" w:rsidR="00E54ACB" w:rsidRPr="006A5F60" w:rsidRDefault="00E54ACB" w:rsidP="0087675E">
      <w:pPr>
        <w:spacing w:before="120" w:line="276" w:lineRule="auto"/>
        <w:ind w:left="284" w:hanging="284"/>
        <w:jc w:val="both"/>
        <w:rPr>
          <w:b/>
          <w:bCs/>
          <w:sz w:val="22"/>
          <w:szCs w:val="22"/>
        </w:rPr>
      </w:pPr>
      <w:r w:rsidRPr="006A5F60">
        <w:rPr>
          <w:b/>
          <w:bCs/>
          <w:sz w:val="22"/>
          <w:szCs w:val="22"/>
        </w:rPr>
        <w:lastRenderedPageBreak/>
        <w:t>4.</w:t>
      </w:r>
      <w:r w:rsidRPr="006A5F60">
        <w:rPr>
          <w:b/>
          <w:bCs/>
          <w:sz w:val="22"/>
          <w:szCs w:val="22"/>
        </w:rPr>
        <w:tab/>
        <w:t>Vplyv na zdravotný stav obyvateľstva.</w:t>
      </w:r>
    </w:p>
    <w:p w14:paraId="7F4DD936" w14:textId="2D78E180" w:rsidR="00E42DB0" w:rsidRPr="006A5F60" w:rsidRDefault="00997776" w:rsidP="00E42DB0">
      <w:pPr>
        <w:widowControl/>
        <w:autoSpaceDE/>
        <w:autoSpaceDN/>
        <w:adjustRightInd/>
        <w:spacing w:before="60" w:line="276" w:lineRule="auto"/>
        <w:jc w:val="both"/>
        <w:rPr>
          <w:sz w:val="22"/>
          <w:szCs w:val="22"/>
        </w:rPr>
      </w:pPr>
      <w:r w:rsidRPr="006A5F60">
        <w:rPr>
          <w:sz w:val="22"/>
          <w:szCs w:val="22"/>
        </w:rPr>
        <w:t xml:space="preserve">Navrhovanými zmenami IROP sa nepredpokladajú vplyvy na zdravotný stav obyvateľstva. </w:t>
      </w:r>
      <w:r w:rsidR="007B1ED9" w:rsidRPr="006A5F60">
        <w:rPr>
          <w:sz w:val="22"/>
          <w:szCs w:val="22"/>
        </w:rPr>
        <w:t xml:space="preserve">resp. vplyv odlišný od už posúdených vplyvov v rámci SEA procesu IROP. </w:t>
      </w:r>
    </w:p>
    <w:p w14:paraId="49E025BC" w14:textId="77777777" w:rsidR="00967130" w:rsidRPr="006A5F60" w:rsidRDefault="00967130" w:rsidP="00E42DB0">
      <w:pPr>
        <w:widowControl/>
        <w:autoSpaceDE/>
        <w:autoSpaceDN/>
        <w:adjustRightInd/>
        <w:spacing w:before="60" w:line="276" w:lineRule="auto"/>
        <w:jc w:val="both"/>
        <w:rPr>
          <w:sz w:val="22"/>
          <w:szCs w:val="22"/>
        </w:rPr>
      </w:pPr>
    </w:p>
    <w:p w14:paraId="79B8973B" w14:textId="4665C916" w:rsidR="00967130" w:rsidRPr="006A5F60" w:rsidRDefault="00967130" w:rsidP="00E42DB0">
      <w:pPr>
        <w:widowControl/>
        <w:autoSpaceDE/>
        <w:autoSpaceDN/>
        <w:adjustRightInd/>
        <w:spacing w:before="60" w:line="276" w:lineRule="auto"/>
        <w:jc w:val="both"/>
        <w:rPr>
          <w:sz w:val="22"/>
          <w:szCs w:val="22"/>
        </w:rPr>
      </w:pPr>
      <w:r w:rsidRPr="006A5F60">
        <w:rPr>
          <w:sz w:val="22"/>
          <w:szCs w:val="22"/>
        </w:rPr>
        <w:t>V dôsledku navrhovanej zmeny IROP sa predpokladá nepriamy pozitívny vplyv na zdravotný stav obyvateľstva, keďže aktivity novovytvorenej prioritnej osi 10 budú prispievať k ochrane zdravia obyvateľov v rámci skupiny zraniteľných domácností, pričom cieľom týchto opatrení je pomôcť im kompenzovať vysoké ceny energií a tým zabezpečiť ich základné životné podmienky.</w:t>
      </w:r>
    </w:p>
    <w:p w14:paraId="77C0E6D6" w14:textId="77777777" w:rsidR="00967130" w:rsidRPr="006A5F60" w:rsidRDefault="00967130" w:rsidP="00E42DB0">
      <w:pPr>
        <w:widowControl/>
        <w:autoSpaceDE/>
        <w:autoSpaceDN/>
        <w:adjustRightInd/>
        <w:spacing w:before="60" w:line="276" w:lineRule="auto"/>
        <w:jc w:val="both"/>
        <w:rPr>
          <w:sz w:val="22"/>
          <w:szCs w:val="22"/>
        </w:rPr>
      </w:pPr>
    </w:p>
    <w:p w14:paraId="7D0CC8E1" w14:textId="77777777" w:rsidR="00E54ACB" w:rsidRPr="006A5F60" w:rsidRDefault="00E54ACB" w:rsidP="0087675E">
      <w:pPr>
        <w:spacing w:before="120" w:line="276" w:lineRule="auto"/>
        <w:ind w:left="284" w:hanging="284"/>
        <w:jc w:val="both"/>
        <w:rPr>
          <w:b/>
          <w:bCs/>
          <w:sz w:val="22"/>
          <w:szCs w:val="22"/>
        </w:rPr>
      </w:pPr>
      <w:r w:rsidRPr="006A5F60">
        <w:rPr>
          <w:b/>
          <w:bCs/>
          <w:sz w:val="22"/>
          <w:szCs w:val="22"/>
        </w:rPr>
        <w:t>5.</w:t>
      </w:r>
      <w:r w:rsidRPr="006A5F60">
        <w:rPr>
          <w:b/>
          <w:bCs/>
          <w:sz w:val="22"/>
          <w:szCs w:val="22"/>
        </w:rPr>
        <w:tab/>
        <w:t>Vplyvy na chránené územia (napr. navrhované chránené vtáčie územia, územia európskeho významu, súvislá európska sústava chránených území (Natura 2000), národné parky, chránené krajinné oblasti, chránené vodohospodárske oblasti a pod.) vrátane návrhu opatrení na ich zmiernenie.</w:t>
      </w:r>
    </w:p>
    <w:p w14:paraId="174B673A" w14:textId="160A43E8" w:rsidR="007B1ED9" w:rsidRPr="006A5F60" w:rsidRDefault="00997776" w:rsidP="007B1ED9">
      <w:pPr>
        <w:widowControl/>
        <w:autoSpaceDE/>
        <w:autoSpaceDN/>
        <w:adjustRightInd/>
        <w:spacing w:before="60" w:line="276" w:lineRule="auto"/>
        <w:jc w:val="both"/>
        <w:rPr>
          <w:sz w:val="22"/>
          <w:szCs w:val="22"/>
        </w:rPr>
      </w:pPr>
      <w:r w:rsidRPr="006A5F60">
        <w:rPr>
          <w:sz w:val="22"/>
          <w:szCs w:val="22"/>
        </w:rPr>
        <w:t>Navrhovanými zmenami IROP sa nepredpokla</w:t>
      </w:r>
      <w:r w:rsidR="007B1ED9" w:rsidRPr="006A5F60">
        <w:rPr>
          <w:sz w:val="22"/>
          <w:szCs w:val="22"/>
        </w:rPr>
        <w:t xml:space="preserve">dajú vplyvy na chránené územia odlišných od už posúdených vplyvov v rámci SEA procesu IROP. </w:t>
      </w:r>
    </w:p>
    <w:p w14:paraId="7F0CCF74" w14:textId="77777777" w:rsidR="007B1ED9" w:rsidRPr="006A5F60" w:rsidRDefault="007B1ED9" w:rsidP="00E42DB0">
      <w:pPr>
        <w:widowControl/>
        <w:autoSpaceDE/>
        <w:autoSpaceDN/>
        <w:adjustRightInd/>
        <w:spacing w:before="60" w:line="276" w:lineRule="auto"/>
        <w:jc w:val="both"/>
        <w:rPr>
          <w:sz w:val="22"/>
          <w:szCs w:val="22"/>
        </w:rPr>
      </w:pPr>
    </w:p>
    <w:p w14:paraId="302948A5" w14:textId="77777777" w:rsidR="00E54ACB" w:rsidRPr="006A5F60" w:rsidRDefault="00E54ACB" w:rsidP="0087675E">
      <w:pPr>
        <w:spacing w:before="120" w:line="276" w:lineRule="auto"/>
        <w:ind w:left="284" w:hanging="284"/>
        <w:jc w:val="both"/>
        <w:rPr>
          <w:b/>
          <w:bCs/>
          <w:sz w:val="22"/>
          <w:szCs w:val="22"/>
        </w:rPr>
      </w:pPr>
      <w:r w:rsidRPr="006A5F60">
        <w:rPr>
          <w:b/>
          <w:bCs/>
          <w:sz w:val="22"/>
          <w:szCs w:val="22"/>
        </w:rPr>
        <w:t>6.</w:t>
      </w:r>
      <w:r w:rsidRPr="006A5F60">
        <w:rPr>
          <w:b/>
          <w:bCs/>
          <w:sz w:val="22"/>
          <w:szCs w:val="22"/>
        </w:rPr>
        <w:tab/>
        <w:t>Možné riziká súvisiace s uplatňovaním strategického materiálu.</w:t>
      </w:r>
    </w:p>
    <w:p w14:paraId="0E8535B6" w14:textId="53DEA1FD" w:rsidR="00E54ACB" w:rsidRPr="006A5F60" w:rsidRDefault="00997776" w:rsidP="00E42DB0">
      <w:pPr>
        <w:widowControl/>
        <w:autoSpaceDE/>
        <w:autoSpaceDN/>
        <w:adjustRightInd/>
        <w:spacing w:before="60" w:line="276" w:lineRule="auto"/>
        <w:jc w:val="both"/>
        <w:rPr>
          <w:sz w:val="22"/>
          <w:szCs w:val="22"/>
        </w:rPr>
      </w:pPr>
      <w:r w:rsidRPr="006A5F60">
        <w:rPr>
          <w:sz w:val="22"/>
          <w:szCs w:val="22"/>
        </w:rPr>
        <w:t xml:space="preserve">Navrhovanými zmenami IROP sa nepredpokladajú </w:t>
      </w:r>
      <w:r w:rsidR="00E7729B" w:rsidRPr="006A5F60">
        <w:rPr>
          <w:sz w:val="22"/>
          <w:szCs w:val="22"/>
        </w:rPr>
        <w:t>významnejšie riziká spojené s </w:t>
      </w:r>
      <w:r w:rsidR="00E54ACB" w:rsidRPr="006A5F60">
        <w:rPr>
          <w:sz w:val="22"/>
          <w:szCs w:val="22"/>
        </w:rPr>
        <w:t>uplatňovaním strategického materiálu vo vzťahu k životnému prostrediu.</w:t>
      </w:r>
    </w:p>
    <w:p w14:paraId="1EF950C9" w14:textId="77777777" w:rsidR="00E42DB0" w:rsidRPr="006A5F60" w:rsidRDefault="00E42DB0" w:rsidP="00E42DB0">
      <w:pPr>
        <w:widowControl/>
        <w:autoSpaceDE/>
        <w:autoSpaceDN/>
        <w:adjustRightInd/>
        <w:spacing w:before="60" w:line="276" w:lineRule="auto"/>
        <w:jc w:val="both"/>
        <w:rPr>
          <w:sz w:val="22"/>
          <w:szCs w:val="22"/>
        </w:rPr>
      </w:pPr>
    </w:p>
    <w:p w14:paraId="3139EC2F" w14:textId="77777777" w:rsidR="00E54ACB" w:rsidRPr="006A5F60" w:rsidRDefault="00E54ACB" w:rsidP="0087675E">
      <w:pPr>
        <w:spacing w:before="120" w:line="276" w:lineRule="auto"/>
        <w:ind w:left="284" w:hanging="284"/>
        <w:jc w:val="both"/>
        <w:rPr>
          <w:b/>
          <w:bCs/>
          <w:sz w:val="22"/>
          <w:szCs w:val="22"/>
        </w:rPr>
      </w:pPr>
      <w:r w:rsidRPr="006A5F60">
        <w:rPr>
          <w:b/>
          <w:bCs/>
          <w:sz w:val="22"/>
          <w:szCs w:val="22"/>
        </w:rPr>
        <w:t>7.</w:t>
      </w:r>
      <w:r w:rsidRPr="006A5F60">
        <w:rPr>
          <w:b/>
          <w:bCs/>
          <w:sz w:val="22"/>
          <w:szCs w:val="22"/>
        </w:rPr>
        <w:tab/>
        <w:t>Vplyvy na životné prostredie presahujúce štátne hranice.</w:t>
      </w:r>
    </w:p>
    <w:p w14:paraId="37B01C28" w14:textId="07CA4EE5" w:rsidR="00EA5D78" w:rsidRPr="006A5F60" w:rsidRDefault="00997776" w:rsidP="00EA5D78">
      <w:pPr>
        <w:widowControl/>
        <w:autoSpaceDE/>
        <w:autoSpaceDN/>
        <w:adjustRightInd/>
        <w:spacing w:before="60" w:line="276" w:lineRule="auto"/>
        <w:jc w:val="both"/>
        <w:rPr>
          <w:sz w:val="22"/>
          <w:szCs w:val="22"/>
        </w:rPr>
      </w:pPr>
      <w:r w:rsidRPr="006A5F60">
        <w:rPr>
          <w:sz w:val="22"/>
          <w:szCs w:val="22"/>
        </w:rPr>
        <w:t xml:space="preserve">Navrhované zmeny IROP nepredpokladajú vplyv </w:t>
      </w:r>
      <w:r w:rsidR="00A52346" w:rsidRPr="006A5F60">
        <w:rPr>
          <w:sz w:val="22"/>
          <w:szCs w:val="22"/>
        </w:rPr>
        <w:t>na životné prostredie presahujúce hranice štátu</w:t>
      </w:r>
      <w:r w:rsidR="00EA5D78" w:rsidRPr="006A5F60">
        <w:rPr>
          <w:sz w:val="22"/>
          <w:szCs w:val="22"/>
        </w:rPr>
        <w:t xml:space="preserve"> odlišných od už posúdených vplyvov v rámci SEA procesu IROP. </w:t>
      </w:r>
    </w:p>
    <w:p w14:paraId="1CE379E3" w14:textId="77777777" w:rsidR="00EA5D78" w:rsidRPr="006A5F60" w:rsidRDefault="00EA5D78" w:rsidP="00E42DB0">
      <w:pPr>
        <w:widowControl/>
        <w:autoSpaceDE/>
        <w:autoSpaceDN/>
        <w:adjustRightInd/>
        <w:spacing w:before="60" w:line="276" w:lineRule="auto"/>
        <w:jc w:val="both"/>
        <w:rPr>
          <w:sz w:val="22"/>
          <w:szCs w:val="22"/>
        </w:rPr>
      </w:pPr>
    </w:p>
    <w:p w14:paraId="750D36A8" w14:textId="77777777" w:rsidR="00E54ACB" w:rsidRPr="006A5F60" w:rsidRDefault="00E54ACB" w:rsidP="0087675E">
      <w:pPr>
        <w:spacing w:before="240" w:line="276" w:lineRule="auto"/>
        <w:ind w:left="357" w:hanging="357"/>
        <w:rPr>
          <w:b/>
          <w:bCs/>
          <w:sz w:val="22"/>
          <w:szCs w:val="22"/>
        </w:rPr>
      </w:pPr>
      <w:r w:rsidRPr="006A5F60">
        <w:rPr>
          <w:b/>
          <w:bCs/>
          <w:sz w:val="22"/>
          <w:szCs w:val="22"/>
        </w:rPr>
        <w:t>IV.</w:t>
      </w:r>
      <w:r w:rsidRPr="006A5F60">
        <w:rPr>
          <w:b/>
          <w:bCs/>
          <w:sz w:val="22"/>
          <w:szCs w:val="22"/>
        </w:rPr>
        <w:tab/>
        <w:t>Dotknuté subjekty</w:t>
      </w:r>
      <w:r w:rsidR="005A0A06" w:rsidRPr="006A5F60">
        <w:rPr>
          <w:b/>
          <w:bCs/>
          <w:sz w:val="22"/>
          <w:szCs w:val="22"/>
        </w:rPr>
        <w:t xml:space="preserve"> </w:t>
      </w:r>
    </w:p>
    <w:p w14:paraId="131F22B9" w14:textId="6DB886FC" w:rsidR="00E54ACB" w:rsidRPr="006A5F60" w:rsidRDefault="00954B72" w:rsidP="0087675E">
      <w:pPr>
        <w:spacing w:before="120" w:line="276" w:lineRule="auto"/>
        <w:ind w:left="284" w:hanging="284"/>
        <w:jc w:val="both"/>
        <w:rPr>
          <w:b/>
          <w:bCs/>
          <w:sz w:val="22"/>
          <w:szCs w:val="22"/>
        </w:rPr>
      </w:pPr>
      <w:r w:rsidRPr="006A5F60">
        <w:rPr>
          <w:b/>
          <w:bCs/>
          <w:sz w:val="22"/>
          <w:szCs w:val="22"/>
        </w:rPr>
        <w:t>1</w:t>
      </w:r>
      <w:r w:rsidRPr="006A5F60">
        <w:rPr>
          <w:b/>
          <w:bCs/>
          <w:sz w:val="22"/>
          <w:szCs w:val="22"/>
        </w:rPr>
        <w:tab/>
      </w:r>
      <w:r w:rsidR="00E54ACB" w:rsidRPr="006A5F60">
        <w:rPr>
          <w:b/>
          <w:bCs/>
          <w:sz w:val="22"/>
          <w:szCs w:val="22"/>
        </w:rPr>
        <w:t>Vymedzenie zainteresovanej verejnosti vrátane jej združení.</w:t>
      </w:r>
    </w:p>
    <w:p w14:paraId="1A51C838" w14:textId="6CF8FE0D" w:rsidR="00EA5D78" w:rsidRPr="006A5F60" w:rsidRDefault="00EA5D78" w:rsidP="00EA5D78">
      <w:pPr>
        <w:spacing w:before="120" w:line="276" w:lineRule="auto"/>
        <w:jc w:val="both"/>
        <w:rPr>
          <w:sz w:val="22"/>
          <w:szCs w:val="22"/>
        </w:rPr>
      </w:pPr>
      <w:r w:rsidRPr="006A5F60">
        <w:rPr>
          <w:sz w:val="22"/>
          <w:szCs w:val="22"/>
        </w:rPr>
        <w:t>Účasť pri posudzovaní vplyvov zmeny strategického dokumentu s celoštátnym dosahom sa umožní zainteresovanej verejnosti podľa § 6a zákona č. 24/2006 Z. z., teda napr. fyzická osoba staršia ako 18 rokov, právnická osoba a občianska iniciatíva, ktorá spĺňa podmienky podľa § 6a ods. 3 zákona č. 24/2006 Z. z.</w:t>
      </w:r>
    </w:p>
    <w:p w14:paraId="61C5F29B" w14:textId="77777777" w:rsidR="00E42DB0" w:rsidRPr="006A5F60" w:rsidRDefault="00E42DB0" w:rsidP="00E42DB0">
      <w:pPr>
        <w:pStyle w:val="Odsekzoznamu"/>
        <w:tabs>
          <w:tab w:val="left" w:pos="1440"/>
        </w:tabs>
        <w:spacing w:before="40" w:after="0"/>
        <w:ind w:left="426"/>
        <w:contextualSpacing w:val="0"/>
        <w:jc w:val="both"/>
        <w:rPr>
          <w:rFonts w:ascii="Arial" w:hAnsi="Arial" w:cs="Arial"/>
        </w:rPr>
      </w:pPr>
    </w:p>
    <w:p w14:paraId="06BFBE86" w14:textId="54D72828" w:rsidR="00E54ACB" w:rsidRPr="006A5F60" w:rsidRDefault="00954B72" w:rsidP="0087675E">
      <w:pPr>
        <w:spacing w:before="120" w:line="276" w:lineRule="auto"/>
        <w:ind w:left="284" w:hanging="284"/>
        <w:jc w:val="both"/>
        <w:rPr>
          <w:b/>
          <w:bCs/>
          <w:sz w:val="22"/>
          <w:szCs w:val="22"/>
        </w:rPr>
      </w:pPr>
      <w:r w:rsidRPr="006A5F60">
        <w:rPr>
          <w:b/>
          <w:bCs/>
          <w:sz w:val="22"/>
          <w:szCs w:val="22"/>
        </w:rPr>
        <w:t>2</w:t>
      </w:r>
      <w:r w:rsidRPr="006A5F60">
        <w:rPr>
          <w:b/>
          <w:bCs/>
          <w:sz w:val="22"/>
          <w:szCs w:val="22"/>
        </w:rPr>
        <w:tab/>
      </w:r>
      <w:r w:rsidR="00E54ACB" w:rsidRPr="006A5F60">
        <w:rPr>
          <w:b/>
          <w:bCs/>
          <w:sz w:val="22"/>
          <w:szCs w:val="22"/>
        </w:rPr>
        <w:t>Zoznam dotknutých subjektov.</w:t>
      </w:r>
    </w:p>
    <w:p w14:paraId="58EC140F" w14:textId="77777777" w:rsidR="00EA5D78" w:rsidRPr="006A5F60" w:rsidRDefault="00EA5D78" w:rsidP="00EA5D78">
      <w:pPr>
        <w:spacing w:before="120" w:line="276" w:lineRule="auto"/>
        <w:jc w:val="both"/>
        <w:rPr>
          <w:sz w:val="22"/>
          <w:szCs w:val="22"/>
        </w:rPr>
      </w:pPr>
    </w:p>
    <w:p w14:paraId="73CA6FCB" w14:textId="77777777" w:rsidR="00EA5D78" w:rsidRPr="006A5F60" w:rsidRDefault="00EA5D78" w:rsidP="00EA5D78">
      <w:pPr>
        <w:pStyle w:val="Odsekzoznamu"/>
        <w:numPr>
          <w:ilvl w:val="0"/>
          <w:numId w:val="2"/>
        </w:numPr>
        <w:tabs>
          <w:tab w:val="left" w:pos="1440"/>
        </w:tabs>
        <w:spacing w:before="40" w:after="0"/>
        <w:ind w:left="426" w:hanging="142"/>
        <w:contextualSpacing w:val="0"/>
        <w:jc w:val="both"/>
        <w:rPr>
          <w:rFonts w:ascii="Arial" w:hAnsi="Arial" w:cs="Arial"/>
        </w:rPr>
      </w:pPr>
      <w:r w:rsidRPr="006A5F60">
        <w:rPr>
          <w:rFonts w:ascii="Arial" w:hAnsi="Arial" w:cs="Arial"/>
        </w:rPr>
        <w:t>Orgány štátnej správy</w:t>
      </w:r>
    </w:p>
    <w:p w14:paraId="382FB19D" w14:textId="77777777" w:rsidR="00EA5D78" w:rsidRPr="006A5F60" w:rsidRDefault="00EA5D78" w:rsidP="00EA5D78">
      <w:pPr>
        <w:pStyle w:val="Odsekzoznamu"/>
        <w:numPr>
          <w:ilvl w:val="0"/>
          <w:numId w:val="2"/>
        </w:numPr>
        <w:tabs>
          <w:tab w:val="left" w:pos="1440"/>
        </w:tabs>
        <w:spacing w:before="40" w:after="0"/>
        <w:ind w:left="426" w:hanging="142"/>
        <w:contextualSpacing w:val="0"/>
        <w:jc w:val="both"/>
        <w:rPr>
          <w:rFonts w:ascii="Arial" w:hAnsi="Arial" w:cs="Arial"/>
        </w:rPr>
      </w:pPr>
      <w:r w:rsidRPr="006A5F60">
        <w:rPr>
          <w:rFonts w:ascii="Arial" w:hAnsi="Arial" w:cs="Arial"/>
        </w:rPr>
        <w:t>Samosprávne kraje</w:t>
      </w:r>
    </w:p>
    <w:p w14:paraId="18BD990C"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Mestá, obce</w:t>
      </w:r>
    </w:p>
    <w:p w14:paraId="3CA52000"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Združenia miest a obcí</w:t>
      </w:r>
    </w:p>
    <w:p w14:paraId="25C97425"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Príspevkové a rozpočtové organizácie štátu, samosprávnych krajov, mestá a obcí</w:t>
      </w:r>
    </w:p>
    <w:p w14:paraId="3C79889B"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Záujmové združenia právnických osôb (§ 20, písm. f Občianskeho zákonníka)</w:t>
      </w:r>
    </w:p>
    <w:p w14:paraId="1D7A81FF"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Materské, základné a stredné odborné školy, učilištia</w:t>
      </w:r>
    </w:p>
    <w:p w14:paraId="7FD9C563"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Občianske združenia</w:t>
      </w:r>
    </w:p>
    <w:p w14:paraId="6076582E"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Nadácie</w:t>
      </w:r>
    </w:p>
    <w:p w14:paraId="3721C83C"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lastRenderedPageBreak/>
        <w:t>Neziskové organizácie poskytujúce verejnoprospešné služby</w:t>
      </w:r>
    </w:p>
    <w:p w14:paraId="260B7260"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Neinvestičné fondy</w:t>
      </w:r>
    </w:p>
    <w:p w14:paraId="202F98C8"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Krajské školské úrady (nimi zriadené osobitné školy)</w:t>
      </w:r>
    </w:p>
    <w:p w14:paraId="5D04E435"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Súkromné a cirkevné školy</w:t>
      </w:r>
    </w:p>
    <w:p w14:paraId="1FB39DE5"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Združenie, zväzok, spolok</w:t>
      </w:r>
    </w:p>
    <w:p w14:paraId="48BD2F76"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 xml:space="preserve">Cirkvi a náboženské spoločnosti </w:t>
      </w:r>
    </w:p>
    <w:p w14:paraId="1CD29078"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Fyzické a právnické osoby</w:t>
      </w:r>
    </w:p>
    <w:p w14:paraId="54FD13D3" w14:textId="77777777" w:rsidR="00EA5D78" w:rsidRPr="006A5F60" w:rsidRDefault="00EA5D78" w:rsidP="00EA5D78">
      <w:pPr>
        <w:pStyle w:val="Odsekzoznamu"/>
        <w:numPr>
          <w:ilvl w:val="0"/>
          <w:numId w:val="2"/>
        </w:numPr>
        <w:spacing w:before="40" w:after="0"/>
        <w:ind w:left="426" w:hanging="142"/>
        <w:contextualSpacing w:val="0"/>
        <w:jc w:val="both"/>
        <w:rPr>
          <w:rFonts w:ascii="Arial" w:hAnsi="Arial" w:cs="Arial"/>
        </w:rPr>
      </w:pPr>
      <w:r w:rsidRPr="006A5F60">
        <w:rPr>
          <w:rFonts w:ascii="Arial" w:hAnsi="Arial" w:cs="Arial"/>
        </w:rPr>
        <w:t>Regionálne združenia</w:t>
      </w:r>
    </w:p>
    <w:p w14:paraId="0BEE6364" w14:textId="77777777" w:rsidR="00EA5D78" w:rsidRPr="006A5F60" w:rsidRDefault="00EA5D78" w:rsidP="00EA5D78">
      <w:pPr>
        <w:pStyle w:val="Odsekzoznamu"/>
        <w:numPr>
          <w:ilvl w:val="0"/>
          <w:numId w:val="2"/>
        </w:numPr>
        <w:tabs>
          <w:tab w:val="left" w:pos="1440"/>
        </w:tabs>
        <w:spacing w:before="40" w:after="0"/>
        <w:ind w:left="426" w:hanging="142"/>
        <w:contextualSpacing w:val="0"/>
        <w:jc w:val="both"/>
        <w:rPr>
          <w:rFonts w:ascii="Arial" w:hAnsi="Arial" w:cs="Arial"/>
        </w:rPr>
      </w:pPr>
      <w:r w:rsidRPr="006A5F60">
        <w:rPr>
          <w:rFonts w:ascii="Arial" w:hAnsi="Arial" w:cs="Arial"/>
        </w:rPr>
        <w:t>Záujmové skupiny</w:t>
      </w:r>
    </w:p>
    <w:p w14:paraId="5367AFB8" w14:textId="77777777" w:rsidR="00EA5D78" w:rsidRPr="006A5F60" w:rsidRDefault="00EA5D78" w:rsidP="00EA5D78">
      <w:pPr>
        <w:pStyle w:val="Odsekzoznamu"/>
        <w:numPr>
          <w:ilvl w:val="0"/>
          <w:numId w:val="2"/>
        </w:numPr>
        <w:tabs>
          <w:tab w:val="left" w:pos="1440"/>
        </w:tabs>
        <w:spacing w:before="40" w:after="0"/>
        <w:ind w:left="426" w:hanging="142"/>
        <w:contextualSpacing w:val="0"/>
        <w:jc w:val="both"/>
        <w:rPr>
          <w:rFonts w:ascii="Arial" w:hAnsi="Arial" w:cs="Arial"/>
        </w:rPr>
      </w:pPr>
      <w:r w:rsidRPr="006A5F60">
        <w:rPr>
          <w:rFonts w:ascii="Arial" w:hAnsi="Arial" w:cs="Arial"/>
        </w:rPr>
        <w:t>Slovenský červený kríž</w:t>
      </w:r>
    </w:p>
    <w:p w14:paraId="4FEF4C02" w14:textId="77777777" w:rsidR="00EA5D78" w:rsidRPr="006A5F60" w:rsidRDefault="00EA5D78" w:rsidP="00E42DB0">
      <w:pPr>
        <w:spacing w:before="80" w:line="276" w:lineRule="auto"/>
        <w:jc w:val="both"/>
        <w:rPr>
          <w:sz w:val="22"/>
          <w:szCs w:val="22"/>
        </w:rPr>
      </w:pPr>
    </w:p>
    <w:p w14:paraId="3C64F246" w14:textId="77777777" w:rsidR="00E54ACB" w:rsidRPr="006A5F60" w:rsidRDefault="00E54ACB" w:rsidP="0087675E">
      <w:pPr>
        <w:spacing w:before="120" w:line="276" w:lineRule="auto"/>
        <w:ind w:left="284" w:hanging="284"/>
        <w:jc w:val="both"/>
        <w:rPr>
          <w:b/>
          <w:bCs/>
          <w:sz w:val="22"/>
          <w:szCs w:val="22"/>
        </w:rPr>
      </w:pPr>
      <w:r w:rsidRPr="006A5F60">
        <w:rPr>
          <w:b/>
          <w:bCs/>
          <w:sz w:val="22"/>
          <w:szCs w:val="22"/>
        </w:rPr>
        <w:t>3.</w:t>
      </w:r>
      <w:r w:rsidRPr="006A5F60">
        <w:rPr>
          <w:b/>
          <w:bCs/>
          <w:sz w:val="22"/>
          <w:szCs w:val="22"/>
        </w:rPr>
        <w:tab/>
        <w:t>Dotknuté susedné štáty.</w:t>
      </w:r>
    </w:p>
    <w:p w14:paraId="676AFCA0" w14:textId="599517C6" w:rsidR="00E54ACB" w:rsidRPr="006A5F60" w:rsidRDefault="00A52346" w:rsidP="00E42DB0">
      <w:pPr>
        <w:spacing w:before="80" w:line="276" w:lineRule="auto"/>
        <w:jc w:val="both"/>
        <w:rPr>
          <w:sz w:val="22"/>
          <w:szCs w:val="22"/>
        </w:rPr>
      </w:pPr>
      <w:r w:rsidRPr="006A5F60">
        <w:rPr>
          <w:sz w:val="22"/>
          <w:szCs w:val="22"/>
        </w:rPr>
        <w:t>Nepredpokladá sa</w:t>
      </w:r>
      <w:r w:rsidR="0067398D" w:rsidRPr="006A5F60">
        <w:rPr>
          <w:sz w:val="22"/>
          <w:szCs w:val="22"/>
        </w:rPr>
        <w:t xml:space="preserve">, že by navrhovanými zmenami IROP mohli byť dotknuté </w:t>
      </w:r>
      <w:r w:rsidRPr="006A5F60">
        <w:rPr>
          <w:sz w:val="22"/>
          <w:szCs w:val="22"/>
        </w:rPr>
        <w:t>susedné štáty</w:t>
      </w:r>
      <w:r w:rsidR="0067398D" w:rsidRPr="006A5F60">
        <w:rPr>
          <w:sz w:val="22"/>
          <w:szCs w:val="22"/>
        </w:rPr>
        <w:t>.</w:t>
      </w:r>
      <w:r w:rsidR="00EA5D78" w:rsidRPr="006A5F60">
        <w:rPr>
          <w:sz w:val="22"/>
          <w:szCs w:val="22"/>
        </w:rPr>
        <w:t xml:space="preserve"> Všetky cezhraničné vplyvy boli zhodnotené v rámci posudzovania vplyvov IROP, pričom nedochádza k takým zmenám, ktoré by mali vplyv na zmenu charakteru vplyvov presahujúcich štátne hranice.</w:t>
      </w:r>
    </w:p>
    <w:p w14:paraId="47BDDB13" w14:textId="77777777" w:rsidR="00A508D6" w:rsidRPr="006A5F60" w:rsidRDefault="00A508D6" w:rsidP="00E42DB0">
      <w:pPr>
        <w:spacing w:before="80" w:line="276" w:lineRule="auto"/>
        <w:jc w:val="both"/>
        <w:rPr>
          <w:sz w:val="22"/>
          <w:szCs w:val="22"/>
        </w:rPr>
      </w:pPr>
    </w:p>
    <w:p w14:paraId="27B2F60F" w14:textId="77777777" w:rsidR="00E54ACB" w:rsidRPr="006A5F60" w:rsidRDefault="00E54ACB" w:rsidP="0087675E">
      <w:pPr>
        <w:spacing w:before="240" w:line="276" w:lineRule="auto"/>
        <w:ind w:left="357" w:hanging="357"/>
        <w:rPr>
          <w:b/>
          <w:bCs/>
          <w:sz w:val="22"/>
          <w:szCs w:val="22"/>
        </w:rPr>
      </w:pPr>
      <w:r w:rsidRPr="006A5F60">
        <w:rPr>
          <w:b/>
          <w:bCs/>
          <w:sz w:val="22"/>
          <w:szCs w:val="22"/>
        </w:rPr>
        <w:t>V.</w:t>
      </w:r>
      <w:r w:rsidRPr="006A5F60">
        <w:rPr>
          <w:b/>
          <w:bCs/>
          <w:sz w:val="22"/>
          <w:szCs w:val="22"/>
        </w:rPr>
        <w:tab/>
        <w:t>Doplňujúce údaje</w:t>
      </w:r>
    </w:p>
    <w:p w14:paraId="01BBCB73" w14:textId="77777777" w:rsidR="00E54ACB" w:rsidRPr="006A5F60" w:rsidRDefault="00E54ACB" w:rsidP="0087675E">
      <w:pPr>
        <w:spacing w:before="120" w:line="276" w:lineRule="auto"/>
        <w:ind w:left="284" w:hanging="284"/>
        <w:jc w:val="both"/>
        <w:rPr>
          <w:b/>
          <w:bCs/>
          <w:sz w:val="22"/>
          <w:szCs w:val="22"/>
        </w:rPr>
      </w:pPr>
      <w:r w:rsidRPr="006A5F60">
        <w:rPr>
          <w:b/>
          <w:bCs/>
          <w:sz w:val="22"/>
          <w:szCs w:val="22"/>
        </w:rPr>
        <w:t>1.</w:t>
      </w:r>
      <w:r w:rsidRPr="006A5F60">
        <w:rPr>
          <w:b/>
          <w:bCs/>
          <w:sz w:val="22"/>
          <w:szCs w:val="22"/>
        </w:rPr>
        <w:tab/>
        <w:t>Mapová a iná grafická dokumentácia (napr. výkres širších vzťahov v mierke primeranej charakteru a pôsobnosti strategického dokumentu).</w:t>
      </w:r>
    </w:p>
    <w:p w14:paraId="5A1E43AE" w14:textId="32604D66" w:rsidR="00296590" w:rsidRPr="006A5F60" w:rsidRDefault="0067398D" w:rsidP="00E42DB0">
      <w:pPr>
        <w:widowControl/>
        <w:autoSpaceDE/>
        <w:autoSpaceDN/>
        <w:adjustRightInd/>
        <w:spacing w:before="60" w:line="276" w:lineRule="auto"/>
        <w:jc w:val="both"/>
        <w:rPr>
          <w:sz w:val="22"/>
          <w:szCs w:val="22"/>
        </w:rPr>
      </w:pPr>
      <w:r w:rsidRPr="006A5F60">
        <w:rPr>
          <w:sz w:val="22"/>
          <w:szCs w:val="22"/>
        </w:rPr>
        <w:t>Predkladané oznámenie neobsahuje mapo</w:t>
      </w:r>
      <w:r w:rsidR="00EA5D78" w:rsidRPr="006A5F60">
        <w:rPr>
          <w:sz w:val="22"/>
          <w:szCs w:val="22"/>
        </w:rPr>
        <w:t>vé a iné grafické dokumentácie s výnimkou prílohy, ktorou je podľa § 5 ods. 6 zákona č. 24/2006 Z. z. strategický dokument s vyznačením navrhovanej zmeny.</w:t>
      </w:r>
    </w:p>
    <w:p w14:paraId="3385FE73" w14:textId="77777777" w:rsidR="00EA5D78" w:rsidRPr="006A5F60" w:rsidRDefault="00EA5D78" w:rsidP="00E42DB0">
      <w:pPr>
        <w:widowControl/>
        <w:autoSpaceDE/>
        <w:autoSpaceDN/>
        <w:adjustRightInd/>
        <w:spacing w:before="60" w:line="276" w:lineRule="auto"/>
        <w:jc w:val="both"/>
        <w:rPr>
          <w:sz w:val="22"/>
          <w:szCs w:val="22"/>
        </w:rPr>
      </w:pPr>
    </w:p>
    <w:p w14:paraId="54A34384" w14:textId="77777777" w:rsidR="00E54ACB" w:rsidRPr="006A5F60" w:rsidRDefault="00E54ACB" w:rsidP="0087675E">
      <w:pPr>
        <w:spacing w:before="120" w:line="276" w:lineRule="auto"/>
        <w:ind w:left="284" w:hanging="284"/>
        <w:jc w:val="both"/>
        <w:rPr>
          <w:b/>
          <w:bCs/>
          <w:sz w:val="22"/>
          <w:szCs w:val="22"/>
        </w:rPr>
      </w:pPr>
      <w:r w:rsidRPr="006A5F60">
        <w:rPr>
          <w:b/>
          <w:bCs/>
          <w:sz w:val="22"/>
          <w:szCs w:val="22"/>
        </w:rPr>
        <w:t>2.</w:t>
      </w:r>
      <w:r w:rsidRPr="006A5F60">
        <w:rPr>
          <w:b/>
          <w:bCs/>
          <w:sz w:val="22"/>
          <w:szCs w:val="22"/>
        </w:rPr>
        <w:tab/>
        <w:t>Materiály použité pri vypracovaní strategického dokumentu.</w:t>
      </w:r>
    </w:p>
    <w:p w14:paraId="7235ABCB" w14:textId="77777777" w:rsidR="00B822F3" w:rsidRPr="006A5F60" w:rsidRDefault="00334F62"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Nariadenie Európskeho parlamentu a Rady (EÚ) č. 1303/2013, ktorým sa stanovuje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w:t>
      </w:r>
      <w:r w:rsidR="00D47BB5" w:rsidRPr="006A5F60">
        <w:rPr>
          <w:rFonts w:ascii="Arial" w:hAnsi="Arial" w:cs="Arial"/>
        </w:rPr>
        <w:t xml:space="preserve"> Rady (ES) č. 1083/2006)</w:t>
      </w:r>
      <w:r w:rsidR="00744056" w:rsidRPr="006A5F60">
        <w:rPr>
          <w:rFonts w:ascii="Arial" w:hAnsi="Arial" w:cs="Arial"/>
        </w:rPr>
        <w:t>;</w:t>
      </w:r>
    </w:p>
    <w:p w14:paraId="77C30F77" w14:textId="5B2E8209" w:rsidR="00B822F3" w:rsidRPr="006A5F60" w:rsidRDefault="00B822F3"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 xml:space="preserve">Nariadenie Európskeho parlamentu a Rady (EÚ) 2023/435 z 27. februára 2023, ktorým sa mení nariadenie (EÚ) 2021/241, pokiaľ ide o kapitolu </w:t>
      </w:r>
      <w:proofErr w:type="spellStart"/>
      <w:r w:rsidRPr="006A5F60">
        <w:rPr>
          <w:rFonts w:ascii="Arial" w:hAnsi="Arial" w:cs="Arial"/>
        </w:rPr>
        <w:t>REPowerEU</w:t>
      </w:r>
      <w:proofErr w:type="spellEnd"/>
      <w:r w:rsidRPr="006A5F60">
        <w:rPr>
          <w:rFonts w:ascii="Arial" w:hAnsi="Arial" w:cs="Arial"/>
        </w:rPr>
        <w:t xml:space="preserve"> v plánoch obnovy a odolnosti, a ktorým sa menia nariadenia (EÚ) č. 1303/2013, (EÚ) 2021/1060 a (EÚ) 2021/1755 a smernica 2003/87/ES;</w:t>
      </w:r>
    </w:p>
    <w:p w14:paraId="147FF9CE" w14:textId="77777777" w:rsidR="00B822F3" w:rsidRPr="006A5F60" w:rsidRDefault="00B822F3"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Návrh na riešenie dopadov energetickej krízy prostredníctvom EŠIF zdrojov programového obdobia 2014 – 2020 a rámec implementácie (SAFE-CARE), (schválený uznesením vlády SR č. 806/2022);</w:t>
      </w:r>
    </w:p>
    <w:p w14:paraId="738AA6E7" w14:textId="77777777" w:rsidR="00B822F3" w:rsidRPr="006A5F60" w:rsidRDefault="00B822F3"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Nariadenie vlády SR č. 19/2023, ktorým sa ustanovujú maximálne ceny za časť regulovanej dodávky plynu pre koncových odberateľov plynu v domácnosti a malých odberateľov plynu a regulovanej dodávky elektriny pre malých odberateľov elektriny a podmienky ich uplatnenia;</w:t>
      </w:r>
    </w:p>
    <w:p w14:paraId="051ADA5C" w14:textId="4B89BBD9" w:rsidR="00B822F3" w:rsidRPr="006A5F60" w:rsidRDefault="00B822F3" w:rsidP="00B822F3">
      <w:pPr>
        <w:pStyle w:val="Odsekzoznamu"/>
        <w:numPr>
          <w:ilvl w:val="0"/>
          <w:numId w:val="2"/>
        </w:numPr>
        <w:tabs>
          <w:tab w:val="left" w:pos="1440"/>
        </w:tabs>
        <w:spacing w:after="0"/>
        <w:ind w:left="426" w:hanging="142"/>
        <w:contextualSpacing w:val="0"/>
        <w:jc w:val="both"/>
        <w:rPr>
          <w:rFonts w:ascii="Arial" w:hAnsi="Arial" w:cs="Arial"/>
        </w:rPr>
      </w:pPr>
      <w:r w:rsidRPr="006A5F60">
        <w:rPr>
          <w:rFonts w:ascii="Arial" w:hAnsi="Arial" w:cs="Arial"/>
        </w:rPr>
        <w:t xml:space="preserve">Neoficiálny dokument o zmenách rámca kohéznej politiky v kontexte energetickej krízy v rámci legislatívnych rokovaní </w:t>
      </w:r>
      <w:proofErr w:type="spellStart"/>
      <w:r w:rsidRPr="006A5F60">
        <w:rPr>
          <w:rFonts w:ascii="Arial" w:hAnsi="Arial" w:cs="Arial"/>
        </w:rPr>
        <w:t>REPowerEU</w:t>
      </w:r>
      <w:proofErr w:type="spellEnd"/>
      <w:r w:rsidRPr="006A5F60">
        <w:rPr>
          <w:rFonts w:ascii="Arial" w:hAnsi="Arial" w:cs="Arial"/>
        </w:rPr>
        <w:t>, SPI(2022) 59 (október 2022).</w:t>
      </w:r>
    </w:p>
    <w:p w14:paraId="7E2AC190" w14:textId="60777F37" w:rsidR="00B822F3" w:rsidRPr="006A5F60" w:rsidRDefault="00B822F3" w:rsidP="00A508D6">
      <w:pPr>
        <w:pStyle w:val="Odsekzoznamu"/>
        <w:tabs>
          <w:tab w:val="left" w:pos="1440"/>
        </w:tabs>
        <w:spacing w:after="0"/>
        <w:ind w:left="426"/>
        <w:contextualSpacing w:val="0"/>
        <w:jc w:val="both"/>
        <w:rPr>
          <w:rFonts w:ascii="Arial" w:hAnsi="Arial" w:cs="Arial"/>
        </w:rPr>
      </w:pPr>
    </w:p>
    <w:p w14:paraId="635855F1" w14:textId="2E74F851" w:rsidR="00B822F3" w:rsidRPr="006A5F60" w:rsidRDefault="00B822F3" w:rsidP="00A508D6">
      <w:pPr>
        <w:pStyle w:val="Odsekzoznamu"/>
        <w:tabs>
          <w:tab w:val="left" w:pos="1440"/>
        </w:tabs>
        <w:spacing w:after="0"/>
        <w:ind w:left="426"/>
        <w:contextualSpacing w:val="0"/>
        <w:jc w:val="both"/>
        <w:rPr>
          <w:rFonts w:ascii="Arial" w:hAnsi="Arial" w:cs="Arial"/>
        </w:rPr>
      </w:pPr>
    </w:p>
    <w:p w14:paraId="5867157D" w14:textId="77777777" w:rsidR="00B822F3" w:rsidRPr="006A5F60" w:rsidRDefault="00B822F3" w:rsidP="00A508D6">
      <w:pPr>
        <w:pStyle w:val="Odsekzoznamu"/>
        <w:tabs>
          <w:tab w:val="left" w:pos="1440"/>
        </w:tabs>
        <w:spacing w:after="0"/>
        <w:ind w:left="426"/>
        <w:contextualSpacing w:val="0"/>
        <w:jc w:val="both"/>
        <w:rPr>
          <w:rFonts w:ascii="Arial" w:hAnsi="Arial" w:cs="Arial"/>
        </w:rPr>
      </w:pPr>
    </w:p>
    <w:p w14:paraId="49418483" w14:textId="77777777" w:rsidR="00E54ACB" w:rsidRPr="006A5F60" w:rsidRDefault="00E54ACB" w:rsidP="00DC39FD">
      <w:pPr>
        <w:spacing w:before="240" w:line="276" w:lineRule="auto"/>
        <w:ind w:left="357" w:hanging="357"/>
        <w:rPr>
          <w:b/>
          <w:bCs/>
          <w:sz w:val="22"/>
          <w:szCs w:val="22"/>
        </w:rPr>
      </w:pPr>
      <w:r w:rsidRPr="006A5F60">
        <w:rPr>
          <w:b/>
          <w:bCs/>
          <w:sz w:val="22"/>
          <w:szCs w:val="22"/>
        </w:rPr>
        <w:lastRenderedPageBreak/>
        <w:t>VI.</w:t>
      </w:r>
      <w:r w:rsidRPr="006A5F60">
        <w:rPr>
          <w:b/>
          <w:bCs/>
          <w:sz w:val="22"/>
          <w:szCs w:val="22"/>
        </w:rPr>
        <w:tab/>
        <w:t>Miesto a dátum vypracovania oznámenia.</w:t>
      </w:r>
    </w:p>
    <w:p w14:paraId="2613AC04" w14:textId="6599EEF8" w:rsidR="00E54ACB" w:rsidRPr="006A5F60" w:rsidRDefault="00E54ACB" w:rsidP="00E42DB0">
      <w:pPr>
        <w:spacing w:before="80" w:line="276" w:lineRule="auto"/>
        <w:jc w:val="both"/>
        <w:rPr>
          <w:sz w:val="22"/>
          <w:szCs w:val="22"/>
        </w:rPr>
      </w:pPr>
      <w:r w:rsidRPr="006A5F60">
        <w:rPr>
          <w:sz w:val="22"/>
          <w:szCs w:val="22"/>
        </w:rPr>
        <w:t xml:space="preserve">Bratislava, </w:t>
      </w:r>
      <w:r w:rsidR="00B822F3" w:rsidRPr="006A5F60">
        <w:rPr>
          <w:sz w:val="22"/>
          <w:szCs w:val="22"/>
        </w:rPr>
        <w:t>31</w:t>
      </w:r>
      <w:r w:rsidR="00597B23" w:rsidRPr="006A5F60">
        <w:rPr>
          <w:sz w:val="22"/>
          <w:szCs w:val="22"/>
        </w:rPr>
        <w:t>.</w:t>
      </w:r>
      <w:r w:rsidR="00B822F3" w:rsidRPr="006A5F60">
        <w:rPr>
          <w:sz w:val="22"/>
          <w:szCs w:val="22"/>
        </w:rPr>
        <w:t>05</w:t>
      </w:r>
      <w:r w:rsidR="00744056" w:rsidRPr="006A5F60">
        <w:rPr>
          <w:sz w:val="22"/>
          <w:szCs w:val="22"/>
        </w:rPr>
        <w:t>.</w:t>
      </w:r>
      <w:r w:rsidR="00E42DB0" w:rsidRPr="006A5F60">
        <w:rPr>
          <w:sz w:val="22"/>
          <w:szCs w:val="22"/>
        </w:rPr>
        <w:t>2023</w:t>
      </w:r>
    </w:p>
    <w:p w14:paraId="045EE5B6" w14:textId="77777777" w:rsidR="00A508D6" w:rsidRPr="006A5F60" w:rsidRDefault="00A508D6" w:rsidP="00E42DB0">
      <w:pPr>
        <w:spacing w:before="80" w:line="276" w:lineRule="auto"/>
        <w:jc w:val="both"/>
        <w:rPr>
          <w:b/>
          <w:color w:val="FF0000"/>
          <w:sz w:val="22"/>
          <w:szCs w:val="22"/>
        </w:rPr>
      </w:pPr>
    </w:p>
    <w:p w14:paraId="2A4A86A6" w14:textId="77777777" w:rsidR="00E54ACB" w:rsidRPr="006A5F60" w:rsidRDefault="00E54ACB" w:rsidP="00DC39FD">
      <w:pPr>
        <w:spacing w:before="240" w:line="276" w:lineRule="auto"/>
        <w:ind w:left="357" w:hanging="357"/>
        <w:rPr>
          <w:b/>
          <w:bCs/>
          <w:sz w:val="22"/>
          <w:szCs w:val="22"/>
        </w:rPr>
      </w:pPr>
      <w:r w:rsidRPr="006A5F60">
        <w:rPr>
          <w:b/>
          <w:bCs/>
          <w:sz w:val="22"/>
          <w:szCs w:val="22"/>
        </w:rPr>
        <w:t>VII.</w:t>
      </w:r>
      <w:r w:rsidRPr="006A5F60">
        <w:rPr>
          <w:b/>
          <w:bCs/>
          <w:sz w:val="22"/>
          <w:szCs w:val="22"/>
        </w:rPr>
        <w:tab/>
        <w:t>Potvrdenie správnosti údajov</w:t>
      </w:r>
    </w:p>
    <w:p w14:paraId="41EE867B" w14:textId="77777777" w:rsidR="00E54ACB" w:rsidRPr="006A5F60" w:rsidRDefault="00E54ACB" w:rsidP="00DC39FD">
      <w:pPr>
        <w:spacing w:before="120" w:line="276" w:lineRule="auto"/>
        <w:ind w:left="284" w:hanging="284"/>
        <w:jc w:val="both"/>
        <w:rPr>
          <w:b/>
          <w:bCs/>
          <w:sz w:val="22"/>
          <w:szCs w:val="22"/>
        </w:rPr>
      </w:pPr>
      <w:r w:rsidRPr="006A5F60">
        <w:rPr>
          <w:b/>
          <w:bCs/>
          <w:sz w:val="22"/>
          <w:szCs w:val="22"/>
        </w:rPr>
        <w:t>1.</w:t>
      </w:r>
      <w:r w:rsidRPr="006A5F60">
        <w:rPr>
          <w:b/>
          <w:bCs/>
          <w:sz w:val="22"/>
          <w:szCs w:val="22"/>
        </w:rPr>
        <w:tab/>
        <w:t>Meno spracovateľa oznámenia.</w:t>
      </w:r>
    </w:p>
    <w:p w14:paraId="6FAE5802" w14:textId="77777777" w:rsidR="0067398D" w:rsidRPr="006A5F60" w:rsidRDefault="0067398D" w:rsidP="00DC39FD">
      <w:pPr>
        <w:spacing w:line="276" w:lineRule="auto"/>
        <w:ind w:left="284"/>
        <w:jc w:val="both"/>
        <w:rPr>
          <w:sz w:val="22"/>
          <w:szCs w:val="22"/>
        </w:rPr>
      </w:pPr>
      <w:r w:rsidRPr="006A5F60">
        <w:rPr>
          <w:sz w:val="22"/>
          <w:szCs w:val="22"/>
        </w:rPr>
        <w:t>Ing. Elena Chrenková Kušnírová</w:t>
      </w:r>
    </w:p>
    <w:p w14:paraId="0E732ADB" w14:textId="77777777" w:rsidR="0067398D" w:rsidRPr="006A5F60" w:rsidRDefault="0067398D" w:rsidP="00DC39FD">
      <w:pPr>
        <w:spacing w:line="276" w:lineRule="auto"/>
        <w:ind w:left="284"/>
        <w:jc w:val="both"/>
        <w:rPr>
          <w:sz w:val="22"/>
          <w:szCs w:val="22"/>
        </w:rPr>
      </w:pPr>
      <w:r w:rsidRPr="006A5F60">
        <w:rPr>
          <w:sz w:val="22"/>
          <w:szCs w:val="22"/>
        </w:rPr>
        <w:t>vedúca oddelenia programovania</w:t>
      </w:r>
    </w:p>
    <w:p w14:paraId="733FDD36" w14:textId="7ED0BC2E" w:rsidR="0067398D" w:rsidRPr="006A5F60" w:rsidRDefault="0067398D" w:rsidP="00DC39FD">
      <w:pPr>
        <w:spacing w:line="276" w:lineRule="auto"/>
        <w:ind w:left="284"/>
        <w:jc w:val="both"/>
        <w:rPr>
          <w:sz w:val="22"/>
          <w:szCs w:val="22"/>
        </w:rPr>
      </w:pPr>
      <w:r w:rsidRPr="006A5F60">
        <w:rPr>
          <w:sz w:val="22"/>
          <w:szCs w:val="22"/>
        </w:rPr>
        <w:t xml:space="preserve">odbor </w:t>
      </w:r>
      <w:r w:rsidR="00744056" w:rsidRPr="006A5F60">
        <w:rPr>
          <w:sz w:val="22"/>
          <w:szCs w:val="22"/>
        </w:rPr>
        <w:t>programovania a metodiky</w:t>
      </w:r>
    </w:p>
    <w:p w14:paraId="74164FA8" w14:textId="4F62D33B" w:rsidR="0067398D" w:rsidRPr="006A5F60" w:rsidRDefault="0067398D" w:rsidP="00DC39FD">
      <w:pPr>
        <w:tabs>
          <w:tab w:val="left" w:pos="426"/>
        </w:tabs>
        <w:spacing w:line="276" w:lineRule="auto"/>
        <w:ind w:left="284"/>
        <w:jc w:val="both"/>
        <w:rPr>
          <w:sz w:val="22"/>
          <w:szCs w:val="22"/>
        </w:rPr>
      </w:pPr>
      <w:r w:rsidRPr="006A5F60">
        <w:rPr>
          <w:sz w:val="22"/>
          <w:szCs w:val="22"/>
        </w:rPr>
        <w:t xml:space="preserve">Ministerstvo </w:t>
      </w:r>
      <w:r w:rsidR="00744056" w:rsidRPr="006A5F60">
        <w:rPr>
          <w:sz w:val="22"/>
          <w:szCs w:val="22"/>
        </w:rPr>
        <w:t xml:space="preserve">investícií, regionálneho rozvoja a informatizácie </w:t>
      </w:r>
      <w:r w:rsidRPr="006A5F60">
        <w:rPr>
          <w:sz w:val="22"/>
          <w:szCs w:val="22"/>
        </w:rPr>
        <w:t>SR</w:t>
      </w:r>
    </w:p>
    <w:p w14:paraId="17C717E2" w14:textId="77777777" w:rsidR="00EA5D78" w:rsidRPr="006A5F60" w:rsidRDefault="00EA5D78" w:rsidP="00EA5D78">
      <w:pPr>
        <w:spacing w:before="80" w:line="276" w:lineRule="auto"/>
        <w:ind w:left="284"/>
        <w:contextualSpacing/>
        <w:jc w:val="both"/>
        <w:rPr>
          <w:sz w:val="22"/>
          <w:szCs w:val="22"/>
        </w:rPr>
      </w:pPr>
      <w:r w:rsidRPr="006A5F60">
        <w:rPr>
          <w:sz w:val="22"/>
          <w:szCs w:val="22"/>
        </w:rPr>
        <w:t>Pribinova 25</w:t>
      </w:r>
    </w:p>
    <w:p w14:paraId="4BEBF75E" w14:textId="77777777" w:rsidR="00EA5D78" w:rsidRPr="006A5F60" w:rsidRDefault="00EA5D78" w:rsidP="00EA5D78">
      <w:pPr>
        <w:spacing w:before="80" w:line="276" w:lineRule="auto"/>
        <w:ind w:left="284"/>
        <w:contextualSpacing/>
        <w:jc w:val="both"/>
        <w:rPr>
          <w:sz w:val="22"/>
          <w:szCs w:val="22"/>
        </w:rPr>
      </w:pPr>
      <w:r w:rsidRPr="006A5F60">
        <w:rPr>
          <w:sz w:val="22"/>
          <w:szCs w:val="22"/>
        </w:rPr>
        <w:t>811 09 Bratislava</w:t>
      </w:r>
    </w:p>
    <w:p w14:paraId="21CC3AF1" w14:textId="331F055D" w:rsidR="0067398D" w:rsidRPr="006A5F60" w:rsidRDefault="001B301B" w:rsidP="00DC39FD">
      <w:pPr>
        <w:tabs>
          <w:tab w:val="left" w:pos="426"/>
        </w:tabs>
        <w:spacing w:line="276" w:lineRule="auto"/>
        <w:ind w:left="284"/>
        <w:jc w:val="both"/>
        <w:rPr>
          <w:sz w:val="22"/>
          <w:szCs w:val="22"/>
        </w:rPr>
      </w:pPr>
      <w:r w:rsidRPr="006A5F60">
        <w:rPr>
          <w:sz w:val="22"/>
          <w:szCs w:val="22"/>
        </w:rPr>
        <w:t>Tel</w:t>
      </w:r>
      <w:r w:rsidR="0067398D" w:rsidRPr="006A5F60">
        <w:rPr>
          <w:sz w:val="22"/>
          <w:szCs w:val="22"/>
        </w:rPr>
        <w:t xml:space="preserve">: +421 2 </w:t>
      </w:r>
      <w:r w:rsidR="000B1391" w:rsidRPr="006A5F60">
        <w:rPr>
          <w:sz w:val="22"/>
          <w:szCs w:val="22"/>
        </w:rPr>
        <w:t>2092</w:t>
      </w:r>
      <w:r w:rsidR="0067398D" w:rsidRPr="006A5F60">
        <w:rPr>
          <w:sz w:val="22"/>
          <w:szCs w:val="22"/>
        </w:rPr>
        <w:t xml:space="preserve"> </w:t>
      </w:r>
      <w:r w:rsidR="000B1391" w:rsidRPr="006A5F60">
        <w:rPr>
          <w:sz w:val="22"/>
          <w:szCs w:val="22"/>
        </w:rPr>
        <w:t>8606</w:t>
      </w:r>
    </w:p>
    <w:p w14:paraId="32FDF4C9" w14:textId="6D8D7069" w:rsidR="0067398D" w:rsidRPr="006A5F60" w:rsidRDefault="0067398D" w:rsidP="00DC39FD">
      <w:pPr>
        <w:tabs>
          <w:tab w:val="left" w:pos="426"/>
        </w:tabs>
        <w:spacing w:line="276" w:lineRule="auto"/>
        <w:ind w:left="284"/>
        <w:jc w:val="both"/>
        <w:rPr>
          <w:sz w:val="22"/>
          <w:szCs w:val="22"/>
          <w:lang w:val="en-US"/>
        </w:rPr>
      </w:pPr>
      <w:r w:rsidRPr="006A5F60">
        <w:rPr>
          <w:sz w:val="22"/>
          <w:szCs w:val="22"/>
        </w:rPr>
        <w:t xml:space="preserve">e-mail: </w:t>
      </w:r>
      <w:hyperlink r:id="rId10" w:history="1">
        <w:r w:rsidR="00B9287A" w:rsidRPr="006A5F60">
          <w:rPr>
            <w:rStyle w:val="Hypertextovprepojenie"/>
            <w:sz w:val="22"/>
            <w:szCs w:val="22"/>
          </w:rPr>
          <w:t>elena.chrenkova.kusnirova@mirri.gov.sk</w:t>
        </w:r>
      </w:hyperlink>
      <w:r w:rsidRPr="006A5F60">
        <w:rPr>
          <w:sz w:val="22"/>
          <w:szCs w:val="22"/>
          <w:lang w:val="en-US"/>
        </w:rPr>
        <w:t xml:space="preserve"> </w:t>
      </w:r>
    </w:p>
    <w:p w14:paraId="1739DAF1" w14:textId="0B26B459" w:rsidR="00E54ACB" w:rsidRPr="006A5F60" w:rsidRDefault="00E54ACB" w:rsidP="00DC39FD">
      <w:pPr>
        <w:spacing w:before="120" w:line="276" w:lineRule="auto"/>
        <w:ind w:left="284" w:hanging="284"/>
        <w:jc w:val="both"/>
        <w:rPr>
          <w:b/>
          <w:bCs/>
          <w:sz w:val="22"/>
          <w:szCs w:val="22"/>
        </w:rPr>
      </w:pPr>
      <w:r w:rsidRPr="006A5F60">
        <w:rPr>
          <w:b/>
          <w:bCs/>
          <w:sz w:val="22"/>
          <w:szCs w:val="22"/>
        </w:rPr>
        <w:t>2.</w:t>
      </w:r>
      <w:r w:rsidRPr="006A5F60">
        <w:rPr>
          <w:b/>
          <w:bCs/>
          <w:sz w:val="22"/>
          <w:szCs w:val="22"/>
        </w:rPr>
        <w:tab/>
        <w:t>Potvrdenie správnosti údajov oznámenia podpisom oprávneného z</w:t>
      </w:r>
      <w:r w:rsidR="00EB2F61" w:rsidRPr="006A5F60">
        <w:rPr>
          <w:b/>
          <w:bCs/>
          <w:sz w:val="22"/>
          <w:szCs w:val="22"/>
        </w:rPr>
        <w:t>ástupcu obstarávateľa, pečiatka</w:t>
      </w:r>
    </w:p>
    <w:p w14:paraId="5633326D" w14:textId="083408DD" w:rsidR="0067398D" w:rsidRPr="006A5F60" w:rsidRDefault="00744056" w:rsidP="00DC39FD">
      <w:pPr>
        <w:spacing w:before="120" w:line="276" w:lineRule="auto"/>
        <w:ind w:left="284"/>
        <w:jc w:val="both"/>
        <w:rPr>
          <w:sz w:val="22"/>
          <w:szCs w:val="22"/>
        </w:rPr>
      </w:pPr>
      <w:r w:rsidRPr="006A5F60">
        <w:rPr>
          <w:sz w:val="22"/>
          <w:szCs w:val="22"/>
        </w:rPr>
        <w:t>Mgr. Andrej Kosmovský</w:t>
      </w:r>
    </w:p>
    <w:p w14:paraId="05225CF6" w14:textId="0E66E09E" w:rsidR="0067398D" w:rsidRPr="006A5F60" w:rsidRDefault="0067398D" w:rsidP="00DC39FD">
      <w:pPr>
        <w:spacing w:line="276" w:lineRule="auto"/>
        <w:ind w:left="284"/>
        <w:jc w:val="both"/>
        <w:rPr>
          <w:sz w:val="22"/>
          <w:szCs w:val="22"/>
        </w:rPr>
      </w:pPr>
      <w:r w:rsidRPr="006A5F60">
        <w:rPr>
          <w:sz w:val="22"/>
          <w:szCs w:val="22"/>
        </w:rPr>
        <w:t xml:space="preserve">riaditeľ odboru </w:t>
      </w:r>
      <w:r w:rsidR="00744056" w:rsidRPr="006A5F60">
        <w:rPr>
          <w:sz w:val="22"/>
          <w:szCs w:val="22"/>
        </w:rPr>
        <w:t>programovania a metodiky</w:t>
      </w:r>
    </w:p>
    <w:p w14:paraId="12550949" w14:textId="03AD9607" w:rsidR="0067398D" w:rsidRPr="006A5F60" w:rsidRDefault="0067398D" w:rsidP="00DC39FD">
      <w:pPr>
        <w:tabs>
          <w:tab w:val="left" w:pos="426"/>
        </w:tabs>
        <w:spacing w:line="276" w:lineRule="auto"/>
        <w:ind w:left="284"/>
        <w:jc w:val="both"/>
        <w:rPr>
          <w:sz w:val="22"/>
          <w:szCs w:val="22"/>
        </w:rPr>
      </w:pPr>
      <w:r w:rsidRPr="006A5F60">
        <w:rPr>
          <w:sz w:val="22"/>
          <w:szCs w:val="22"/>
        </w:rPr>
        <w:t xml:space="preserve">Ministerstvo </w:t>
      </w:r>
      <w:r w:rsidR="00744056" w:rsidRPr="006A5F60">
        <w:rPr>
          <w:sz w:val="22"/>
          <w:szCs w:val="22"/>
        </w:rPr>
        <w:t xml:space="preserve">investícií, regionálneho rozvoja a informatizácie </w:t>
      </w:r>
      <w:r w:rsidRPr="006A5F60">
        <w:rPr>
          <w:sz w:val="22"/>
          <w:szCs w:val="22"/>
        </w:rPr>
        <w:t>SR</w:t>
      </w:r>
    </w:p>
    <w:p w14:paraId="0957AEF9" w14:textId="77777777" w:rsidR="00EA5D78" w:rsidRPr="006A5F60" w:rsidRDefault="00EA5D78" w:rsidP="00EA5D78">
      <w:pPr>
        <w:spacing w:before="80" w:line="276" w:lineRule="auto"/>
        <w:ind w:left="284"/>
        <w:contextualSpacing/>
        <w:jc w:val="both"/>
        <w:rPr>
          <w:sz w:val="22"/>
          <w:szCs w:val="22"/>
        </w:rPr>
      </w:pPr>
      <w:r w:rsidRPr="006A5F60">
        <w:rPr>
          <w:sz w:val="22"/>
          <w:szCs w:val="22"/>
        </w:rPr>
        <w:t>Pribinova 25</w:t>
      </w:r>
    </w:p>
    <w:p w14:paraId="03E04E64" w14:textId="77777777" w:rsidR="00EA5D78" w:rsidRPr="006A5F60" w:rsidRDefault="00EA5D78" w:rsidP="00EA5D78">
      <w:pPr>
        <w:spacing w:before="80" w:line="276" w:lineRule="auto"/>
        <w:ind w:left="284"/>
        <w:contextualSpacing/>
        <w:jc w:val="both"/>
        <w:rPr>
          <w:sz w:val="22"/>
          <w:szCs w:val="22"/>
        </w:rPr>
      </w:pPr>
      <w:r w:rsidRPr="006A5F60">
        <w:rPr>
          <w:sz w:val="22"/>
          <w:szCs w:val="22"/>
        </w:rPr>
        <w:t>811 09 Bratislava</w:t>
      </w:r>
    </w:p>
    <w:p w14:paraId="5CBD4A4B" w14:textId="5E514452" w:rsidR="0067398D" w:rsidRPr="006A5F60" w:rsidRDefault="001B301B" w:rsidP="00DC39FD">
      <w:pPr>
        <w:tabs>
          <w:tab w:val="left" w:pos="426"/>
        </w:tabs>
        <w:spacing w:line="276" w:lineRule="auto"/>
        <w:ind w:left="284"/>
        <w:jc w:val="both"/>
        <w:rPr>
          <w:sz w:val="22"/>
          <w:szCs w:val="22"/>
        </w:rPr>
      </w:pPr>
      <w:r w:rsidRPr="006A5F60">
        <w:rPr>
          <w:sz w:val="22"/>
          <w:szCs w:val="22"/>
        </w:rPr>
        <w:t>Tel</w:t>
      </w:r>
      <w:r w:rsidR="0067398D" w:rsidRPr="006A5F60">
        <w:rPr>
          <w:sz w:val="22"/>
          <w:szCs w:val="22"/>
        </w:rPr>
        <w:t xml:space="preserve">: +421 2 </w:t>
      </w:r>
      <w:r w:rsidR="000B1391" w:rsidRPr="006A5F60">
        <w:rPr>
          <w:sz w:val="22"/>
          <w:szCs w:val="22"/>
        </w:rPr>
        <w:t>2092</w:t>
      </w:r>
      <w:r w:rsidR="0067398D" w:rsidRPr="006A5F60">
        <w:rPr>
          <w:sz w:val="22"/>
          <w:szCs w:val="22"/>
        </w:rPr>
        <w:t xml:space="preserve"> </w:t>
      </w:r>
      <w:r w:rsidR="000B1391" w:rsidRPr="006A5F60">
        <w:rPr>
          <w:sz w:val="22"/>
          <w:szCs w:val="22"/>
        </w:rPr>
        <w:t>8704</w:t>
      </w:r>
    </w:p>
    <w:p w14:paraId="64D80B71" w14:textId="15FD4202" w:rsidR="0067398D" w:rsidRPr="006A5F60" w:rsidRDefault="0067398D" w:rsidP="00DC39FD">
      <w:pPr>
        <w:tabs>
          <w:tab w:val="left" w:pos="426"/>
        </w:tabs>
        <w:spacing w:line="276" w:lineRule="auto"/>
        <w:ind w:left="284"/>
        <w:jc w:val="both"/>
        <w:rPr>
          <w:sz w:val="22"/>
          <w:szCs w:val="22"/>
          <w:lang w:val="en-US"/>
        </w:rPr>
      </w:pPr>
      <w:r w:rsidRPr="006A5F60">
        <w:rPr>
          <w:sz w:val="22"/>
          <w:szCs w:val="22"/>
        </w:rPr>
        <w:t xml:space="preserve">e-mail: </w:t>
      </w:r>
      <w:hyperlink r:id="rId11" w:history="1">
        <w:r w:rsidR="00744056" w:rsidRPr="006A5F60">
          <w:rPr>
            <w:rStyle w:val="Hypertextovprepojenie"/>
            <w:sz w:val="22"/>
            <w:szCs w:val="22"/>
          </w:rPr>
          <w:t>andrej.kosmovsky@mirri.gov.sk</w:t>
        </w:r>
      </w:hyperlink>
      <w:r w:rsidRPr="006A5F60">
        <w:rPr>
          <w:sz w:val="22"/>
          <w:szCs w:val="22"/>
          <w:lang w:val="en-US"/>
        </w:rPr>
        <w:t xml:space="preserve"> </w:t>
      </w:r>
    </w:p>
    <w:p w14:paraId="4519B45C" w14:textId="77777777" w:rsidR="0067398D" w:rsidRPr="006A5F60" w:rsidRDefault="0067398D" w:rsidP="00DC39FD">
      <w:pPr>
        <w:spacing w:line="276" w:lineRule="auto"/>
        <w:ind w:left="284"/>
        <w:rPr>
          <w:sz w:val="22"/>
          <w:szCs w:val="22"/>
        </w:rPr>
      </w:pPr>
    </w:p>
    <w:p w14:paraId="3B2F6571" w14:textId="46130C5C" w:rsidR="00A2796E" w:rsidRPr="006A5F60" w:rsidRDefault="00744056" w:rsidP="00DC39FD">
      <w:pPr>
        <w:spacing w:line="276" w:lineRule="auto"/>
        <w:ind w:left="284"/>
        <w:jc w:val="both"/>
        <w:rPr>
          <w:sz w:val="22"/>
          <w:szCs w:val="22"/>
        </w:rPr>
      </w:pPr>
      <w:r w:rsidRPr="006A5F60">
        <w:rPr>
          <w:sz w:val="22"/>
          <w:szCs w:val="22"/>
        </w:rPr>
        <w:t>Ing. Albert Németh</w:t>
      </w:r>
      <w:r w:rsidR="00F50ECB" w:rsidRPr="006A5F60">
        <w:rPr>
          <w:sz w:val="22"/>
          <w:szCs w:val="22"/>
        </w:rPr>
        <w:t>, MBA</w:t>
      </w:r>
      <w:bookmarkStart w:id="0" w:name="_GoBack"/>
      <w:bookmarkEnd w:id="0"/>
    </w:p>
    <w:p w14:paraId="24537EC3" w14:textId="5F0BF122" w:rsidR="00A2796E" w:rsidRPr="006A5F60" w:rsidRDefault="00A2796E" w:rsidP="00DC39FD">
      <w:pPr>
        <w:spacing w:line="276" w:lineRule="auto"/>
        <w:ind w:left="284"/>
        <w:jc w:val="both"/>
        <w:rPr>
          <w:sz w:val="22"/>
          <w:szCs w:val="22"/>
        </w:rPr>
      </w:pPr>
      <w:r w:rsidRPr="006A5F60">
        <w:rPr>
          <w:sz w:val="22"/>
          <w:szCs w:val="22"/>
        </w:rPr>
        <w:t xml:space="preserve">generálny riaditeľ sekcie </w:t>
      </w:r>
      <w:r w:rsidR="00744056" w:rsidRPr="006A5F60">
        <w:rPr>
          <w:sz w:val="22"/>
          <w:szCs w:val="22"/>
        </w:rPr>
        <w:t>IROP</w:t>
      </w:r>
    </w:p>
    <w:p w14:paraId="3232C918" w14:textId="62CAF3B7" w:rsidR="00A2796E" w:rsidRPr="006A5F60" w:rsidRDefault="00A2796E" w:rsidP="00DC39FD">
      <w:pPr>
        <w:spacing w:line="276" w:lineRule="auto"/>
        <w:ind w:left="284"/>
        <w:jc w:val="both"/>
        <w:rPr>
          <w:sz w:val="22"/>
          <w:szCs w:val="22"/>
        </w:rPr>
      </w:pPr>
      <w:r w:rsidRPr="006A5F60">
        <w:rPr>
          <w:sz w:val="22"/>
          <w:szCs w:val="22"/>
        </w:rPr>
        <w:t xml:space="preserve">Ministerstvo </w:t>
      </w:r>
      <w:r w:rsidR="00744056" w:rsidRPr="006A5F60">
        <w:rPr>
          <w:sz w:val="22"/>
          <w:szCs w:val="22"/>
        </w:rPr>
        <w:t xml:space="preserve">investícií, regionálneho rozvoja a informatizácie </w:t>
      </w:r>
      <w:r w:rsidRPr="006A5F60">
        <w:rPr>
          <w:sz w:val="22"/>
          <w:szCs w:val="22"/>
        </w:rPr>
        <w:t>SR</w:t>
      </w:r>
    </w:p>
    <w:p w14:paraId="40618707" w14:textId="77777777" w:rsidR="00EA5D78" w:rsidRPr="006A5F60" w:rsidRDefault="00EA5D78" w:rsidP="00EA5D78">
      <w:pPr>
        <w:spacing w:before="80" w:line="276" w:lineRule="auto"/>
        <w:ind w:left="284"/>
        <w:contextualSpacing/>
        <w:jc w:val="both"/>
        <w:rPr>
          <w:sz w:val="22"/>
          <w:szCs w:val="22"/>
        </w:rPr>
      </w:pPr>
      <w:r w:rsidRPr="006A5F60">
        <w:rPr>
          <w:sz w:val="22"/>
          <w:szCs w:val="22"/>
        </w:rPr>
        <w:t>Pribinova 25</w:t>
      </w:r>
    </w:p>
    <w:p w14:paraId="7885F3C7" w14:textId="77777777" w:rsidR="00EA5D78" w:rsidRPr="006A5F60" w:rsidRDefault="00EA5D78" w:rsidP="00EA5D78">
      <w:pPr>
        <w:spacing w:before="80" w:line="276" w:lineRule="auto"/>
        <w:ind w:left="284"/>
        <w:contextualSpacing/>
        <w:jc w:val="both"/>
        <w:rPr>
          <w:sz w:val="22"/>
          <w:szCs w:val="22"/>
        </w:rPr>
      </w:pPr>
      <w:r w:rsidRPr="006A5F60">
        <w:rPr>
          <w:sz w:val="22"/>
          <w:szCs w:val="22"/>
        </w:rPr>
        <w:t>811 09 Bratislava</w:t>
      </w:r>
    </w:p>
    <w:p w14:paraId="6B163A00" w14:textId="0150F740" w:rsidR="00A2796E" w:rsidRPr="006A5F60" w:rsidRDefault="00A2796E" w:rsidP="00DC39FD">
      <w:pPr>
        <w:spacing w:line="276" w:lineRule="auto"/>
        <w:ind w:left="284"/>
        <w:jc w:val="both"/>
        <w:rPr>
          <w:sz w:val="22"/>
          <w:szCs w:val="22"/>
        </w:rPr>
      </w:pPr>
      <w:r w:rsidRPr="006A5F60">
        <w:rPr>
          <w:sz w:val="22"/>
          <w:szCs w:val="22"/>
        </w:rPr>
        <w:t xml:space="preserve">Tel: +421 2 </w:t>
      </w:r>
      <w:r w:rsidR="000B1391" w:rsidRPr="006A5F60">
        <w:rPr>
          <w:sz w:val="22"/>
          <w:szCs w:val="22"/>
        </w:rPr>
        <w:t>2092</w:t>
      </w:r>
      <w:r w:rsidRPr="006A5F60">
        <w:rPr>
          <w:sz w:val="22"/>
          <w:szCs w:val="22"/>
        </w:rPr>
        <w:t xml:space="preserve"> </w:t>
      </w:r>
      <w:r w:rsidR="000B1391" w:rsidRPr="006A5F60">
        <w:rPr>
          <w:sz w:val="22"/>
          <w:szCs w:val="22"/>
        </w:rPr>
        <w:t>8602</w:t>
      </w:r>
    </w:p>
    <w:p w14:paraId="30F75A31" w14:textId="7C61F4D9" w:rsidR="00E54ACB" w:rsidRPr="006A5F60" w:rsidRDefault="00A2796E" w:rsidP="00DC39FD">
      <w:pPr>
        <w:spacing w:line="276" w:lineRule="auto"/>
        <w:ind w:left="284"/>
        <w:jc w:val="both"/>
        <w:rPr>
          <w:sz w:val="22"/>
          <w:szCs w:val="22"/>
          <w:lang w:val="en-US"/>
        </w:rPr>
      </w:pPr>
      <w:r w:rsidRPr="006A5F60">
        <w:rPr>
          <w:sz w:val="22"/>
          <w:szCs w:val="22"/>
        </w:rPr>
        <w:t xml:space="preserve">e-mail: </w:t>
      </w:r>
      <w:hyperlink r:id="rId12" w:history="1">
        <w:r w:rsidR="00744056" w:rsidRPr="006A5F60">
          <w:rPr>
            <w:rStyle w:val="Hypertextovprepojenie"/>
            <w:sz w:val="22"/>
            <w:szCs w:val="22"/>
          </w:rPr>
          <w:t>albert.nemeth@mirri.gov.sk</w:t>
        </w:r>
      </w:hyperlink>
      <w:r w:rsidRPr="006A5F60">
        <w:rPr>
          <w:sz w:val="22"/>
          <w:szCs w:val="22"/>
          <w:lang w:val="en-US"/>
        </w:rPr>
        <w:t xml:space="preserve"> </w:t>
      </w:r>
    </w:p>
    <w:p w14:paraId="54FB3579" w14:textId="2211C82D" w:rsidR="00EA5D78" w:rsidRPr="006A5F60" w:rsidRDefault="00EA5D78" w:rsidP="00DC39FD">
      <w:pPr>
        <w:spacing w:line="276" w:lineRule="auto"/>
        <w:ind w:left="284"/>
        <w:jc w:val="both"/>
        <w:rPr>
          <w:sz w:val="22"/>
          <w:szCs w:val="22"/>
          <w:lang w:val="en-US"/>
        </w:rPr>
      </w:pPr>
    </w:p>
    <w:p w14:paraId="1F3936AC" w14:textId="6E9383AE" w:rsidR="00EA5D78" w:rsidRPr="006A5F60" w:rsidRDefault="00EA5D78" w:rsidP="00DC39FD">
      <w:pPr>
        <w:spacing w:line="276" w:lineRule="auto"/>
        <w:ind w:left="284"/>
        <w:jc w:val="both"/>
        <w:rPr>
          <w:sz w:val="22"/>
          <w:szCs w:val="22"/>
          <w:lang w:val="en-US"/>
        </w:rPr>
      </w:pPr>
    </w:p>
    <w:p w14:paraId="654AC451" w14:textId="77777777" w:rsidR="00EA5D78" w:rsidRPr="006A5F60" w:rsidRDefault="00EA5D78" w:rsidP="00DC39FD">
      <w:pPr>
        <w:spacing w:line="276" w:lineRule="auto"/>
        <w:ind w:left="284"/>
        <w:jc w:val="both"/>
        <w:rPr>
          <w:sz w:val="22"/>
          <w:szCs w:val="22"/>
          <w:lang w:val="en-US"/>
        </w:rPr>
        <w:sectPr w:rsidR="00EA5D78" w:rsidRPr="006A5F60" w:rsidSect="0007767F">
          <w:footerReference w:type="default" r:id="rId13"/>
          <w:pgSz w:w="11906" w:h="16838"/>
          <w:pgMar w:top="1276" w:right="992" w:bottom="1134" w:left="1247" w:header="709" w:footer="544" w:gutter="0"/>
          <w:cols w:space="708"/>
          <w:docGrid w:linePitch="360"/>
        </w:sectPr>
      </w:pPr>
    </w:p>
    <w:p w14:paraId="33699E81" w14:textId="6B69C9D1" w:rsidR="00EA5D78" w:rsidRPr="006A5F60" w:rsidRDefault="00EA5D78" w:rsidP="00DC39FD">
      <w:pPr>
        <w:spacing w:line="276" w:lineRule="auto"/>
        <w:ind w:left="284"/>
        <w:jc w:val="both"/>
        <w:rPr>
          <w:sz w:val="22"/>
          <w:szCs w:val="22"/>
          <w:lang w:val="en-US"/>
        </w:rPr>
      </w:pPr>
    </w:p>
    <w:p w14:paraId="54705674" w14:textId="72C1A18E" w:rsidR="00A508D6" w:rsidRPr="006A5F60" w:rsidRDefault="00A508D6" w:rsidP="00DC39FD">
      <w:pPr>
        <w:spacing w:line="276" w:lineRule="auto"/>
        <w:ind w:left="284"/>
        <w:jc w:val="both"/>
        <w:rPr>
          <w:sz w:val="22"/>
          <w:szCs w:val="22"/>
          <w:lang w:val="en-US"/>
        </w:rPr>
      </w:pPr>
    </w:p>
    <w:p w14:paraId="095FB9C7" w14:textId="51883C26" w:rsidR="00A508D6" w:rsidRPr="006A5F60" w:rsidRDefault="00A508D6" w:rsidP="00DC39FD">
      <w:pPr>
        <w:spacing w:line="276" w:lineRule="auto"/>
        <w:ind w:left="284"/>
        <w:jc w:val="both"/>
        <w:rPr>
          <w:sz w:val="22"/>
          <w:szCs w:val="22"/>
          <w:lang w:val="en-US"/>
        </w:rPr>
      </w:pPr>
    </w:p>
    <w:p w14:paraId="72786D38" w14:textId="22CA589C" w:rsidR="00A508D6" w:rsidRPr="006A5F60" w:rsidRDefault="00A508D6" w:rsidP="00DC39FD">
      <w:pPr>
        <w:spacing w:line="276" w:lineRule="auto"/>
        <w:ind w:left="284"/>
        <w:jc w:val="both"/>
        <w:rPr>
          <w:sz w:val="22"/>
          <w:szCs w:val="22"/>
          <w:lang w:val="en-US"/>
        </w:rPr>
      </w:pPr>
    </w:p>
    <w:p w14:paraId="47B62147" w14:textId="77777777" w:rsidR="00A508D6" w:rsidRPr="006A5F60" w:rsidRDefault="00A508D6" w:rsidP="00DC39FD">
      <w:pPr>
        <w:spacing w:line="276" w:lineRule="auto"/>
        <w:ind w:left="284"/>
        <w:jc w:val="both"/>
        <w:rPr>
          <w:sz w:val="22"/>
          <w:szCs w:val="22"/>
          <w:lang w:val="en-US"/>
        </w:rPr>
      </w:pPr>
    </w:p>
    <w:p w14:paraId="76ACCD38" w14:textId="69CEB953" w:rsidR="00EA5D78" w:rsidRPr="006A5F60" w:rsidRDefault="00EA5D78" w:rsidP="00DC39FD">
      <w:pPr>
        <w:spacing w:line="276" w:lineRule="auto"/>
        <w:ind w:left="284"/>
        <w:jc w:val="both"/>
        <w:rPr>
          <w:sz w:val="22"/>
          <w:szCs w:val="22"/>
          <w:lang w:val="en-US"/>
        </w:rPr>
      </w:pPr>
    </w:p>
    <w:p w14:paraId="28228700" w14:textId="102D250E" w:rsidR="00EA5D78" w:rsidRPr="006A5F60" w:rsidRDefault="00EA5D78" w:rsidP="00EA5D78">
      <w:pPr>
        <w:spacing w:line="276" w:lineRule="auto"/>
        <w:ind w:left="284"/>
        <w:jc w:val="center"/>
        <w:rPr>
          <w:b/>
          <w:sz w:val="22"/>
          <w:szCs w:val="22"/>
        </w:rPr>
      </w:pPr>
      <w:r w:rsidRPr="006A5F60">
        <w:rPr>
          <w:b/>
          <w:sz w:val="22"/>
          <w:szCs w:val="22"/>
        </w:rPr>
        <w:t>PRÍLOHA</w:t>
      </w:r>
    </w:p>
    <w:p w14:paraId="69B69299" w14:textId="77777777" w:rsidR="00EA5D78" w:rsidRPr="006A5F60" w:rsidRDefault="00EA5D78" w:rsidP="00DC39FD">
      <w:pPr>
        <w:spacing w:line="276" w:lineRule="auto"/>
        <w:ind w:left="284"/>
        <w:jc w:val="both"/>
        <w:rPr>
          <w:sz w:val="22"/>
          <w:szCs w:val="22"/>
        </w:rPr>
      </w:pPr>
    </w:p>
    <w:p w14:paraId="593B72CE" w14:textId="7DFAA0CE" w:rsidR="00EA5D78" w:rsidRPr="006A5F60" w:rsidRDefault="00EA5D78" w:rsidP="00DC39FD">
      <w:pPr>
        <w:spacing w:line="276" w:lineRule="auto"/>
        <w:ind w:left="284"/>
        <w:jc w:val="both"/>
        <w:rPr>
          <w:sz w:val="22"/>
          <w:szCs w:val="22"/>
        </w:rPr>
      </w:pPr>
    </w:p>
    <w:p w14:paraId="12F7E92A" w14:textId="78F33E10" w:rsidR="00A508D6" w:rsidRPr="006A5F60" w:rsidRDefault="00A508D6" w:rsidP="00DC39FD">
      <w:pPr>
        <w:spacing w:line="276" w:lineRule="auto"/>
        <w:ind w:left="284"/>
        <w:jc w:val="both"/>
        <w:rPr>
          <w:sz w:val="22"/>
          <w:szCs w:val="22"/>
        </w:rPr>
      </w:pPr>
    </w:p>
    <w:p w14:paraId="26A0EE1D" w14:textId="04C46FBD" w:rsidR="00A508D6" w:rsidRPr="006A5F60" w:rsidRDefault="00A508D6" w:rsidP="00DC39FD">
      <w:pPr>
        <w:spacing w:line="276" w:lineRule="auto"/>
        <w:ind w:left="284"/>
        <w:jc w:val="both"/>
        <w:rPr>
          <w:sz w:val="22"/>
          <w:szCs w:val="22"/>
        </w:rPr>
      </w:pPr>
    </w:p>
    <w:p w14:paraId="7EFF6233" w14:textId="77777777" w:rsidR="00A508D6" w:rsidRPr="006A5F60" w:rsidRDefault="00A508D6" w:rsidP="00DC39FD">
      <w:pPr>
        <w:spacing w:line="276" w:lineRule="auto"/>
        <w:ind w:left="284"/>
        <w:jc w:val="both"/>
        <w:rPr>
          <w:sz w:val="22"/>
          <w:szCs w:val="22"/>
        </w:rPr>
      </w:pPr>
    </w:p>
    <w:p w14:paraId="2F1FAE37" w14:textId="77777777" w:rsidR="00EA5D78" w:rsidRPr="006A5F60" w:rsidRDefault="00EA5D78" w:rsidP="00DC39FD">
      <w:pPr>
        <w:spacing w:line="276" w:lineRule="auto"/>
        <w:ind w:left="284"/>
        <w:jc w:val="both"/>
        <w:rPr>
          <w:sz w:val="22"/>
          <w:szCs w:val="22"/>
        </w:rPr>
      </w:pPr>
    </w:p>
    <w:p w14:paraId="71E32031" w14:textId="77777777" w:rsidR="00EA5D78" w:rsidRPr="006A5F60" w:rsidRDefault="00EA5D78" w:rsidP="00EA5D78">
      <w:pPr>
        <w:spacing w:line="276" w:lineRule="auto"/>
        <w:ind w:left="284"/>
        <w:jc w:val="center"/>
        <w:rPr>
          <w:sz w:val="22"/>
          <w:szCs w:val="22"/>
        </w:rPr>
      </w:pPr>
      <w:r w:rsidRPr="006A5F60">
        <w:rPr>
          <w:sz w:val="22"/>
          <w:szCs w:val="22"/>
        </w:rPr>
        <w:t xml:space="preserve">Integrovaný regionálny operačný program </w:t>
      </w:r>
    </w:p>
    <w:p w14:paraId="10025B89" w14:textId="18BD0E53" w:rsidR="00EA5D78" w:rsidRPr="006A5F60" w:rsidRDefault="00EA5D78" w:rsidP="00EA5D78">
      <w:pPr>
        <w:spacing w:line="276" w:lineRule="auto"/>
        <w:ind w:left="284"/>
        <w:jc w:val="center"/>
        <w:rPr>
          <w:sz w:val="22"/>
          <w:szCs w:val="22"/>
          <w:lang w:val="en-US"/>
        </w:rPr>
      </w:pPr>
      <w:r w:rsidRPr="006A5F60">
        <w:rPr>
          <w:sz w:val="22"/>
          <w:szCs w:val="22"/>
        </w:rPr>
        <w:t xml:space="preserve">(verzia </w:t>
      </w:r>
      <w:r w:rsidR="00E90E4B" w:rsidRPr="006A5F60">
        <w:rPr>
          <w:sz w:val="22"/>
          <w:szCs w:val="22"/>
        </w:rPr>
        <w:t>14</w:t>
      </w:r>
      <w:r w:rsidRPr="006A5F60">
        <w:rPr>
          <w:sz w:val="22"/>
          <w:szCs w:val="22"/>
        </w:rPr>
        <w:t>.0)</w:t>
      </w:r>
    </w:p>
    <w:sectPr w:rsidR="00EA5D78" w:rsidRPr="006A5F60" w:rsidSect="0007767F">
      <w:pgSz w:w="11906" w:h="16838"/>
      <w:pgMar w:top="1276" w:right="992" w:bottom="1134" w:left="1247"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0865B" w14:textId="77777777" w:rsidR="007D6EA2" w:rsidRDefault="007D6EA2" w:rsidP="00EB4EE8">
      <w:r>
        <w:separator/>
      </w:r>
    </w:p>
  </w:endnote>
  <w:endnote w:type="continuationSeparator" w:id="0">
    <w:p w14:paraId="70A310CD" w14:textId="77777777" w:rsidR="007D6EA2" w:rsidRDefault="007D6EA2" w:rsidP="00E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39355"/>
      <w:docPartObj>
        <w:docPartGallery w:val="Page Numbers (Bottom of Page)"/>
        <w:docPartUnique/>
      </w:docPartObj>
    </w:sdtPr>
    <w:sdtEndPr>
      <w:rPr>
        <w:sz w:val="20"/>
        <w:szCs w:val="20"/>
      </w:rPr>
    </w:sdtEndPr>
    <w:sdtContent>
      <w:p w14:paraId="175D583D" w14:textId="79C6D023" w:rsidR="007D6EA2" w:rsidRPr="007347B1" w:rsidRDefault="007D6EA2" w:rsidP="00724642">
        <w:pPr>
          <w:pStyle w:val="Pta"/>
          <w:jc w:val="right"/>
          <w:rPr>
            <w:sz w:val="20"/>
            <w:szCs w:val="20"/>
          </w:rPr>
        </w:pPr>
        <w:r w:rsidRPr="007347B1">
          <w:rPr>
            <w:sz w:val="20"/>
            <w:szCs w:val="20"/>
          </w:rPr>
          <w:fldChar w:fldCharType="begin"/>
        </w:r>
        <w:r w:rsidRPr="007347B1">
          <w:rPr>
            <w:sz w:val="20"/>
            <w:szCs w:val="20"/>
          </w:rPr>
          <w:instrText>PAGE   \* MERGEFORMAT</w:instrText>
        </w:r>
        <w:r w:rsidRPr="007347B1">
          <w:rPr>
            <w:sz w:val="20"/>
            <w:szCs w:val="20"/>
          </w:rPr>
          <w:fldChar w:fldCharType="separate"/>
        </w:r>
        <w:r w:rsidR="006A5F60">
          <w:rPr>
            <w:noProof/>
            <w:sz w:val="20"/>
            <w:szCs w:val="20"/>
          </w:rPr>
          <w:t>14</w:t>
        </w:r>
        <w:r w:rsidRPr="007347B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05AD" w14:textId="77777777" w:rsidR="007D6EA2" w:rsidRDefault="007D6EA2" w:rsidP="00EB4EE8">
      <w:r>
        <w:separator/>
      </w:r>
    </w:p>
  </w:footnote>
  <w:footnote w:type="continuationSeparator" w:id="0">
    <w:p w14:paraId="1C73AB3F" w14:textId="77777777" w:rsidR="007D6EA2" w:rsidRDefault="007D6EA2" w:rsidP="00EB4EE8">
      <w:r>
        <w:continuationSeparator/>
      </w:r>
    </w:p>
  </w:footnote>
  <w:footnote w:id="1">
    <w:p w14:paraId="250A683A" w14:textId="77777777" w:rsidR="007D6EA2" w:rsidRPr="00A8635F" w:rsidRDefault="007D6EA2" w:rsidP="007D6EA2">
      <w:pPr>
        <w:pStyle w:val="Textpoznmkypodiarou"/>
        <w:jc w:val="both"/>
        <w:rPr>
          <w:sz w:val="14"/>
          <w:szCs w:val="14"/>
        </w:rPr>
      </w:pPr>
      <w:r>
        <w:rPr>
          <w:rStyle w:val="Odkaznapoznmkupodiarou"/>
        </w:rPr>
        <w:footnoteRef/>
      </w:r>
      <w:r>
        <w:t xml:space="preserve"> </w:t>
      </w:r>
      <w:r w:rsidRPr="00A8635F">
        <w:rPr>
          <w:sz w:val="14"/>
          <w:szCs w:val="14"/>
        </w:rPr>
        <w:t>OZNÁMENIE KOMISIE - Usmernenia k ukončeniu operačných programov prijatých na účely využívania pomoci z Európskeho fondu regionálneho rozvoja, Európskeho sociálneho fondu, Kohézneho fondu a Európskeho námorného a rybárskeho fondu a programov cezhraničnej spolupráce v rámci nástroja predvstupovej pomoci (IPA II)(2014 – 2020) (2022/C 474/01)</w:t>
      </w:r>
    </w:p>
  </w:footnote>
  <w:footnote w:id="2">
    <w:p w14:paraId="1B4D4A25" w14:textId="77777777" w:rsidR="007D6EA2" w:rsidRPr="00CE2BC5" w:rsidRDefault="007D6EA2" w:rsidP="007D6EA2">
      <w:pPr>
        <w:pStyle w:val="Textpoznmkypodiarou"/>
        <w:rPr>
          <w:sz w:val="14"/>
          <w:szCs w:val="14"/>
        </w:rPr>
      </w:pPr>
      <w:r w:rsidRPr="00A8635F">
        <w:rPr>
          <w:rStyle w:val="Odkaznapoznmkupodiarou"/>
          <w:sz w:val="14"/>
          <w:szCs w:val="14"/>
        </w:rPr>
        <w:footnoteRef/>
      </w:r>
      <w:r w:rsidRPr="00A8635F">
        <w:rPr>
          <w:sz w:val="14"/>
          <w:szCs w:val="14"/>
        </w:rPr>
        <w:t xml:space="preserve"> Čl. 130(3) </w:t>
      </w:r>
      <w:r w:rsidRPr="00CE2BC5">
        <w:rPr>
          <w:sz w:val="14"/>
          <w:szCs w:val="14"/>
        </w:rPr>
        <w:t>všeobecného nariadenia.</w:t>
      </w:r>
    </w:p>
  </w:footnote>
  <w:footnote w:id="3">
    <w:p w14:paraId="7F223572" w14:textId="77777777" w:rsidR="007D6EA2" w:rsidRPr="00CE2BC5" w:rsidRDefault="007D6EA2" w:rsidP="007D6EA2">
      <w:pPr>
        <w:pStyle w:val="Textpoznmkypodiarou"/>
        <w:rPr>
          <w:sz w:val="14"/>
          <w:szCs w:val="14"/>
        </w:rPr>
      </w:pPr>
      <w:r w:rsidRPr="00CE2BC5">
        <w:rPr>
          <w:rStyle w:val="Odkaznapoznmkupodiarou"/>
          <w:sz w:val="14"/>
          <w:szCs w:val="14"/>
        </w:rPr>
        <w:footnoteRef/>
      </w:r>
      <w:r w:rsidRPr="00CE2BC5">
        <w:rPr>
          <w:sz w:val="14"/>
          <w:szCs w:val="14"/>
        </w:rPr>
        <w:t xml:space="preserve"> Údaj za rok 2023</w:t>
      </w:r>
    </w:p>
  </w:footnote>
  <w:footnote w:id="4">
    <w:p w14:paraId="5E69459B" w14:textId="77777777" w:rsidR="007D6EA2" w:rsidRPr="00CE2BC5" w:rsidRDefault="007D6EA2" w:rsidP="007D6EA2">
      <w:pPr>
        <w:pStyle w:val="Textpoznmkypodiarou"/>
        <w:rPr>
          <w:sz w:val="14"/>
          <w:szCs w:val="14"/>
        </w:rPr>
      </w:pPr>
      <w:r w:rsidRPr="00CE2BC5">
        <w:rPr>
          <w:rStyle w:val="Odkaznapoznmkupodiarou"/>
          <w:sz w:val="14"/>
          <w:szCs w:val="14"/>
        </w:rPr>
        <w:footnoteRef/>
      </w:r>
      <w:r w:rsidRPr="00CE2BC5">
        <w:rPr>
          <w:sz w:val="14"/>
          <w:szCs w:val="14"/>
        </w:rPr>
        <w:t xml:space="preserve"> Údaj k 30.04.2023</w:t>
      </w:r>
    </w:p>
  </w:footnote>
  <w:footnote w:id="5">
    <w:p w14:paraId="07A03A6E" w14:textId="77777777" w:rsidR="007D6EA2" w:rsidRPr="00CE2BC5" w:rsidRDefault="007D6EA2" w:rsidP="007D6EA2">
      <w:pPr>
        <w:pStyle w:val="Textpoznmkypodiarou"/>
        <w:rPr>
          <w:sz w:val="14"/>
          <w:szCs w:val="14"/>
        </w:rPr>
      </w:pPr>
      <w:r w:rsidRPr="00CE2BC5">
        <w:rPr>
          <w:rStyle w:val="Odkaznapoznmkupodiarou"/>
          <w:sz w:val="14"/>
          <w:szCs w:val="14"/>
        </w:rPr>
        <w:footnoteRef/>
      </w:r>
      <w:r w:rsidRPr="00CE2BC5">
        <w:rPr>
          <w:sz w:val="14"/>
          <w:szCs w:val="14"/>
        </w:rPr>
        <w:t xml:space="preserve"> Údaj za rok 2023</w:t>
      </w:r>
    </w:p>
  </w:footnote>
  <w:footnote w:id="6">
    <w:p w14:paraId="28EE4FC0" w14:textId="77777777" w:rsidR="007D6EA2" w:rsidRPr="00CE2BC5" w:rsidRDefault="007D6EA2" w:rsidP="007D6EA2">
      <w:pPr>
        <w:pStyle w:val="Textpoznmkypodiarou"/>
        <w:rPr>
          <w:sz w:val="14"/>
          <w:szCs w:val="14"/>
        </w:rPr>
      </w:pPr>
      <w:r w:rsidRPr="00CE2BC5">
        <w:rPr>
          <w:rStyle w:val="Odkaznapoznmkupodiarou"/>
          <w:sz w:val="14"/>
          <w:szCs w:val="14"/>
        </w:rPr>
        <w:footnoteRef/>
      </w:r>
      <w:r w:rsidRPr="00CE2BC5">
        <w:rPr>
          <w:sz w:val="14"/>
          <w:szCs w:val="14"/>
        </w:rPr>
        <w:t xml:space="preserve"> Údaj za rok 2023</w:t>
      </w:r>
    </w:p>
  </w:footnote>
  <w:footnote w:id="7">
    <w:p w14:paraId="59763EA8" w14:textId="77777777" w:rsidR="007D6EA2" w:rsidRPr="00CE2BC5" w:rsidRDefault="007D6EA2" w:rsidP="007D6EA2">
      <w:pPr>
        <w:pStyle w:val="Textpoznmkypodiarou"/>
        <w:rPr>
          <w:sz w:val="14"/>
          <w:szCs w:val="14"/>
        </w:rPr>
      </w:pPr>
      <w:r w:rsidRPr="00CE2BC5">
        <w:rPr>
          <w:rStyle w:val="Odkaznapoznmkupodiarou"/>
          <w:sz w:val="14"/>
          <w:szCs w:val="14"/>
        </w:rPr>
        <w:footnoteRef/>
      </w:r>
      <w:r w:rsidRPr="00CE2BC5">
        <w:rPr>
          <w:sz w:val="14"/>
          <w:szCs w:val="14"/>
        </w:rPr>
        <w:t xml:space="preserve"> Údaj k 30.04.2023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578"/>
    <w:multiLevelType w:val="hybridMultilevel"/>
    <w:tmpl w:val="AE521A78"/>
    <w:lvl w:ilvl="0" w:tplc="041B000F">
      <w:start w:val="1"/>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178DC"/>
    <w:multiLevelType w:val="hybridMultilevel"/>
    <w:tmpl w:val="479CBB5A"/>
    <w:lvl w:ilvl="0" w:tplc="1F8A4E46">
      <w:start w:val="6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0F2D51"/>
    <w:multiLevelType w:val="hybridMultilevel"/>
    <w:tmpl w:val="01601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A062CC"/>
    <w:multiLevelType w:val="hybridMultilevel"/>
    <w:tmpl w:val="F2FA2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D71384"/>
    <w:multiLevelType w:val="hybridMultilevel"/>
    <w:tmpl w:val="538A56C8"/>
    <w:lvl w:ilvl="0" w:tplc="8E8AB612">
      <w:start w:val="1"/>
      <w:numFmt w:val="upp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98B42B3"/>
    <w:multiLevelType w:val="hybridMultilevel"/>
    <w:tmpl w:val="1618109A"/>
    <w:lvl w:ilvl="0" w:tplc="2B8A9EC4">
      <w:start w:val="1"/>
      <w:numFmt w:val="bullet"/>
      <w:lvlText w:val="•"/>
      <w:lvlJc w:val="left"/>
      <w:pPr>
        <w:tabs>
          <w:tab w:val="num" w:pos="720"/>
        </w:tabs>
        <w:ind w:left="720" w:hanging="360"/>
      </w:pPr>
      <w:rPr>
        <w:rFonts w:ascii="Georgia" w:hAnsi="Georgia" w:hint="default"/>
      </w:rPr>
    </w:lvl>
    <w:lvl w:ilvl="1" w:tplc="6D9A43A4">
      <w:start w:val="27"/>
      <w:numFmt w:val="bullet"/>
      <w:lvlText w:val="▫"/>
      <w:lvlJc w:val="left"/>
      <w:pPr>
        <w:tabs>
          <w:tab w:val="num" w:pos="1440"/>
        </w:tabs>
        <w:ind w:left="1440" w:hanging="360"/>
      </w:pPr>
      <w:rPr>
        <w:rFonts w:ascii="Georgia" w:hAnsi="Georgia" w:hint="default"/>
      </w:rPr>
    </w:lvl>
    <w:lvl w:ilvl="2" w:tplc="64105106">
      <w:start w:val="27"/>
      <w:numFmt w:val="bullet"/>
      <w:lvlText w:val=""/>
      <w:lvlJc w:val="left"/>
      <w:pPr>
        <w:tabs>
          <w:tab w:val="num" w:pos="2160"/>
        </w:tabs>
        <w:ind w:left="2160" w:hanging="360"/>
      </w:pPr>
      <w:rPr>
        <w:rFonts w:ascii="Wingdings 2" w:hAnsi="Wingdings 2" w:hint="default"/>
      </w:rPr>
    </w:lvl>
    <w:lvl w:ilvl="3" w:tplc="E6C49760" w:tentative="1">
      <w:start w:val="1"/>
      <w:numFmt w:val="bullet"/>
      <w:lvlText w:val="•"/>
      <w:lvlJc w:val="left"/>
      <w:pPr>
        <w:tabs>
          <w:tab w:val="num" w:pos="2880"/>
        </w:tabs>
        <w:ind w:left="2880" w:hanging="360"/>
      </w:pPr>
      <w:rPr>
        <w:rFonts w:ascii="Georgia" w:hAnsi="Georgia" w:hint="default"/>
      </w:rPr>
    </w:lvl>
    <w:lvl w:ilvl="4" w:tplc="C00E8ED6" w:tentative="1">
      <w:start w:val="1"/>
      <w:numFmt w:val="bullet"/>
      <w:lvlText w:val="•"/>
      <w:lvlJc w:val="left"/>
      <w:pPr>
        <w:tabs>
          <w:tab w:val="num" w:pos="3600"/>
        </w:tabs>
        <w:ind w:left="3600" w:hanging="360"/>
      </w:pPr>
      <w:rPr>
        <w:rFonts w:ascii="Georgia" w:hAnsi="Georgia" w:hint="default"/>
      </w:rPr>
    </w:lvl>
    <w:lvl w:ilvl="5" w:tplc="2A7AE4F8" w:tentative="1">
      <w:start w:val="1"/>
      <w:numFmt w:val="bullet"/>
      <w:lvlText w:val="•"/>
      <w:lvlJc w:val="left"/>
      <w:pPr>
        <w:tabs>
          <w:tab w:val="num" w:pos="4320"/>
        </w:tabs>
        <w:ind w:left="4320" w:hanging="360"/>
      </w:pPr>
      <w:rPr>
        <w:rFonts w:ascii="Georgia" w:hAnsi="Georgia" w:hint="default"/>
      </w:rPr>
    </w:lvl>
    <w:lvl w:ilvl="6" w:tplc="944A408E" w:tentative="1">
      <w:start w:val="1"/>
      <w:numFmt w:val="bullet"/>
      <w:lvlText w:val="•"/>
      <w:lvlJc w:val="left"/>
      <w:pPr>
        <w:tabs>
          <w:tab w:val="num" w:pos="5040"/>
        </w:tabs>
        <w:ind w:left="5040" w:hanging="360"/>
      </w:pPr>
      <w:rPr>
        <w:rFonts w:ascii="Georgia" w:hAnsi="Georgia" w:hint="default"/>
      </w:rPr>
    </w:lvl>
    <w:lvl w:ilvl="7" w:tplc="D4BE26DE" w:tentative="1">
      <w:start w:val="1"/>
      <w:numFmt w:val="bullet"/>
      <w:lvlText w:val="•"/>
      <w:lvlJc w:val="left"/>
      <w:pPr>
        <w:tabs>
          <w:tab w:val="num" w:pos="5760"/>
        </w:tabs>
        <w:ind w:left="5760" w:hanging="360"/>
      </w:pPr>
      <w:rPr>
        <w:rFonts w:ascii="Georgia" w:hAnsi="Georgia" w:hint="default"/>
      </w:rPr>
    </w:lvl>
    <w:lvl w:ilvl="8" w:tplc="59C89F4E"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0E0D3E15"/>
    <w:multiLevelType w:val="hybridMultilevel"/>
    <w:tmpl w:val="D7881B4A"/>
    <w:lvl w:ilvl="0" w:tplc="AF9C6B2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D211C5"/>
    <w:multiLevelType w:val="hybridMultilevel"/>
    <w:tmpl w:val="DF78B66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700318"/>
    <w:multiLevelType w:val="hybridMultilevel"/>
    <w:tmpl w:val="B55053FC"/>
    <w:lvl w:ilvl="0" w:tplc="77929BA2">
      <w:start w:val="4"/>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DC3D55"/>
    <w:multiLevelType w:val="hybridMultilevel"/>
    <w:tmpl w:val="34843D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9531BC"/>
    <w:multiLevelType w:val="hybridMultilevel"/>
    <w:tmpl w:val="1E920C38"/>
    <w:lvl w:ilvl="0" w:tplc="041B000F">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7547CA"/>
    <w:multiLevelType w:val="hybridMultilevel"/>
    <w:tmpl w:val="459020DA"/>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C661E4"/>
    <w:multiLevelType w:val="hybridMultilevel"/>
    <w:tmpl w:val="5BC28242"/>
    <w:lvl w:ilvl="0" w:tplc="33C224CE">
      <w:start w:val="1"/>
      <w:numFmt w:val="decimal"/>
      <w:lvlText w:val="%1."/>
      <w:lvlJc w:val="left"/>
      <w:pPr>
        <w:ind w:left="720" w:hanging="360"/>
      </w:pPr>
      <w:rPr>
        <w:rFonts w:ascii="Arial Narrow" w:hAnsi="Arial Narrow"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6F34CB"/>
    <w:multiLevelType w:val="multilevel"/>
    <w:tmpl w:val="D4A0B5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F011948"/>
    <w:multiLevelType w:val="hybridMultilevel"/>
    <w:tmpl w:val="19FE6E88"/>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EF3DA0"/>
    <w:multiLevelType w:val="hybridMultilevel"/>
    <w:tmpl w:val="5E543E94"/>
    <w:lvl w:ilvl="0" w:tplc="64A8E6D6">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ED4D36"/>
    <w:multiLevelType w:val="hybridMultilevel"/>
    <w:tmpl w:val="C6064648"/>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25A27B05"/>
    <w:multiLevelType w:val="hybridMultilevel"/>
    <w:tmpl w:val="63DC4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6DE5FB3"/>
    <w:multiLevelType w:val="hybridMultilevel"/>
    <w:tmpl w:val="42F2A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967043C"/>
    <w:multiLevelType w:val="hybridMultilevel"/>
    <w:tmpl w:val="404E5170"/>
    <w:lvl w:ilvl="0" w:tplc="ECBA3BF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E7B6BC4"/>
    <w:multiLevelType w:val="hybridMultilevel"/>
    <w:tmpl w:val="25E6561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0C1BE4"/>
    <w:multiLevelType w:val="hybridMultilevel"/>
    <w:tmpl w:val="822C4198"/>
    <w:lvl w:ilvl="0" w:tplc="9A1A4084">
      <w:start w:val="1"/>
      <w:numFmt w:val="bullet"/>
      <w:lvlText w:val="-"/>
      <w:lvlJc w:val="left"/>
      <w:pPr>
        <w:ind w:left="720" w:hanging="360"/>
      </w:pPr>
      <w:rPr>
        <w:rFonts w:ascii="Arial Narrow" w:eastAsiaTheme="minorHAns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F7353A"/>
    <w:multiLevelType w:val="hybridMultilevel"/>
    <w:tmpl w:val="19FE6E88"/>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14C6266"/>
    <w:multiLevelType w:val="hybridMultilevel"/>
    <w:tmpl w:val="7824A0F8"/>
    <w:lvl w:ilvl="0" w:tplc="041B0015">
      <w:start w:val="1"/>
      <w:numFmt w:val="upp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B92F6E"/>
    <w:multiLevelType w:val="hybridMultilevel"/>
    <w:tmpl w:val="B4521F9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F66A55"/>
    <w:multiLevelType w:val="hybridMultilevel"/>
    <w:tmpl w:val="1186B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8041F07"/>
    <w:multiLevelType w:val="hybridMultilevel"/>
    <w:tmpl w:val="CC429D0E"/>
    <w:lvl w:ilvl="0" w:tplc="0C94D32C">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8BA721F"/>
    <w:multiLevelType w:val="hybridMultilevel"/>
    <w:tmpl w:val="C3E01612"/>
    <w:lvl w:ilvl="0" w:tplc="202450E4">
      <w:start w:val="1"/>
      <w:numFmt w:val="bullet"/>
      <w:lvlText w:val=""/>
      <w:lvlJc w:val="left"/>
      <w:pPr>
        <w:tabs>
          <w:tab w:val="num" w:pos="720"/>
        </w:tabs>
        <w:ind w:left="720" w:hanging="360"/>
      </w:pPr>
      <w:rPr>
        <w:rFonts w:ascii="Wingdings 2" w:hAnsi="Wingdings 2" w:hint="default"/>
      </w:rPr>
    </w:lvl>
    <w:lvl w:ilvl="1" w:tplc="B7CEC7BE" w:tentative="1">
      <w:start w:val="1"/>
      <w:numFmt w:val="bullet"/>
      <w:lvlText w:val=""/>
      <w:lvlJc w:val="left"/>
      <w:pPr>
        <w:tabs>
          <w:tab w:val="num" w:pos="1440"/>
        </w:tabs>
        <w:ind w:left="1440" w:hanging="360"/>
      </w:pPr>
      <w:rPr>
        <w:rFonts w:ascii="Wingdings 2" w:hAnsi="Wingdings 2" w:hint="default"/>
      </w:rPr>
    </w:lvl>
    <w:lvl w:ilvl="2" w:tplc="4710BB1C">
      <w:start w:val="1"/>
      <w:numFmt w:val="bullet"/>
      <w:lvlText w:val=""/>
      <w:lvlJc w:val="left"/>
      <w:pPr>
        <w:tabs>
          <w:tab w:val="num" w:pos="2160"/>
        </w:tabs>
        <w:ind w:left="2160" w:hanging="360"/>
      </w:pPr>
      <w:rPr>
        <w:rFonts w:ascii="Wingdings 2" w:hAnsi="Wingdings 2" w:hint="default"/>
      </w:rPr>
    </w:lvl>
    <w:lvl w:ilvl="3" w:tplc="903006A2" w:tentative="1">
      <w:start w:val="1"/>
      <w:numFmt w:val="bullet"/>
      <w:lvlText w:val=""/>
      <w:lvlJc w:val="left"/>
      <w:pPr>
        <w:tabs>
          <w:tab w:val="num" w:pos="2880"/>
        </w:tabs>
        <w:ind w:left="2880" w:hanging="360"/>
      </w:pPr>
      <w:rPr>
        <w:rFonts w:ascii="Wingdings 2" w:hAnsi="Wingdings 2" w:hint="default"/>
      </w:rPr>
    </w:lvl>
    <w:lvl w:ilvl="4" w:tplc="C478DD8A" w:tentative="1">
      <w:start w:val="1"/>
      <w:numFmt w:val="bullet"/>
      <w:lvlText w:val=""/>
      <w:lvlJc w:val="left"/>
      <w:pPr>
        <w:tabs>
          <w:tab w:val="num" w:pos="3600"/>
        </w:tabs>
        <w:ind w:left="3600" w:hanging="360"/>
      </w:pPr>
      <w:rPr>
        <w:rFonts w:ascii="Wingdings 2" w:hAnsi="Wingdings 2" w:hint="default"/>
      </w:rPr>
    </w:lvl>
    <w:lvl w:ilvl="5" w:tplc="7570AAC4" w:tentative="1">
      <w:start w:val="1"/>
      <w:numFmt w:val="bullet"/>
      <w:lvlText w:val=""/>
      <w:lvlJc w:val="left"/>
      <w:pPr>
        <w:tabs>
          <w:tab w:val="num" w:pos="4320"/>
        </w:tabs>
        <w:ind w:left="4320" w:hanging="360"/>
      </w:pPr>
      <w:rPr>
        <w:rFonts w:ascii="Wingdings 2" w:hAnsi="Wingdings 2" w:hint="default"/>
      </w:rPr>
    </w:lvl>
    <w:lvl w:ilvl="6" w:tplc="CA302F6E" w:tentative="1">
      <w:start w:val="1"/>
      <w:numFmt w:val="bullet"/>
      <w:lvlText w:val=""/>
      <w:lvlJc w:val="left"/>
      <w:pPr>
        <w:tabs>
          <w:tab w:val="num" w:pos="5040"/>
        </w:tabs>
        <w:ind w:left="5040" w:hanging="360"/>
      </w:pPr>
      <w:rPr>
        <w:rFonts w:ascii="Wingdings 2" w:hAnsi="Wingdings 2" w:hint="default"/>
      </w:rPr>
    </w:lvl>
    <w:lvl w:ilvl="7" w:tplc="1FF0B460" w:tentative="1">
      <w:start w:val="1"/>
      <w:numFmt w:val="bullet"/>
      <w:lvlText w:val=""/>
      <w:lvlJc w:val="left"/>
      <w:pPr>
        <w:tabs>
          <w:tab w:val="num" w:pos="5760"/>
        </w:tabs>
        <w:ind w:left="5760" w:hanging="360"/>
      </w:pPr>
      <w:rPr>
        <w:rFonts w:ascii="Wingdings 2" w:hAnsi="Wingdings 2" w:hint="default"/>
      </w:rPr>
    </w:lvl>
    <w:lvl w:ilvl="8" w:tplc="7DC0BE5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3EEC129E"/>
    <w:multiLevelType w:val="hybridMultilevel"/>
    <w:tmpl w:val="FA7878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E307C1"/>
    <w:multiLevelType w:val="multilevel"/>
    <w:tmpl w:val="5E2E9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6D2221"/>
    <w:multiLevelType w:val="hybridMultilevel"/>
    <w:tmpl w:val="0E401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5A51F0F"/>
    <w:multiLevelType w:val="hybridMultilevel"/>
    <w:tmpl w:val="D22468CA"/>
    <w:lvl w:ilvl="0" w:tplc="4E8CE17C">
      <w:start w:val="3"/>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7C80A46"/>
    <w:multiLevelType w:val="hybridMultilevel"/>
    <w:tmpl w:val="47F8847A"/>
    <w:lvl w:ilvl="0" w:tplc="AB68439A">
      <w:start w:val="1"/>
      <w:numFmt w:val="decimal"/>
      <w:lvlText w:val="%1."/>
      <w:lvlJc w:val="left"/>
      <w:pPr>
        <w:ind w:left="720" w:hanging="360"/>
      </w:pPr>
      <w:rPr>
        <w:rFonts w:ascii="Arial Narrow" w:hAnsi="Arial Narrow"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82335B8"/>
    <w:multiLevelType w:val="hybridMultilevel"/>
    <w:tmpl w:val="7E504F6A"/>
    <w:lvl w:ilvl="0" w:tplc="2C9EFFE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23C0A82"/>
    <w:multiLevelType w:val="hybridMultilevel"/>
    <w:tmpl w:val="C00865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A153079"/>
    <w:multiLevelType w:val="hybridMultilevel"/>
    <w:tmpl w:val="950A4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092F64"/>
    <w:multiLevelType w:val="hybridMultilevel"/>
    <w:tmpl w:val="9258AFD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9A3427"/>
    <w:multiLevelType w:val="hybridMultilevel"/>
    <w:tmpl w:val="F21E1EE6"/>
    <w:lvl w:ilvl="0" w:tplc="441091F2">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6D573D"/>
    <w:multiLevelType w:val="hybridMultilevel"/>
    <w:tmpl w:val="FF00562C"/>
    <w:lvl w:ilvl="0" w:tplc="67FED4C2">
      <w:start w:val="1"/>
      <w:numFmt w:val="bullet"/>
      <w:lvlText w:val="•"/>
      <w:lvlJc w:val="left"/>
      <w:pPr>
        <w:tabs>
          <w:tab w:val="num" w:pos="720"/>
        </w:tabs>
        <w:ind w:left="720" w:hanging="360"/>
      </w:pPr>
      <w:rPr>
        <w:rFonts w:ascii="Georgia" w:hAnsi="Georgia" w:hint="default"/>
      </w:rPr>
    </w:lvl>
    <w:lvl w:ilvl="1" w:tplc="CF98B72A">
      <w:start w:val="27"/>
      <w:numFmt w:val="bullet"/>
      <w:lvlText w:val="▫"/>
      <w:lvlJc w:val="left"/>
      <w:pPr>
        <w:tabs>
          <w:tab w:val="num" w:pos="1440"/>
        </w:tabs>
        <w:ind w:left="1440" w:hanging="360"/>
      </w:pPr>
      <w:rPr>
        <w:rFonts w:ascii="Georgia" w:hAnsi="Georgia" w:hint="default"/>
      </w:rPr>
    </w:lvl>
    <w:lvl w:ilvl="2" w:tplc="407C2056" w:tentative="1">
      <w:start w:val="1"/>
      <w:numFmt w:val="bullet"/>
      <w:lvlText w:val="•"/>
      <w:lvlJc w:val="left"/>
      <w:pPr>
        <w:tabs>
          <w:tab w:val="num" w:pos="2160"/>
        </w:tabs>
        <w:ind w:left="2160" w:hanging="360"/>
      </w:pPr>
      <w:rPr>
        <w:rFonts w:ascii="Georgia" w:hAnsi="Georgia" w:hint="default"/>
      </w:rPr>
    </w:lvl>
    <w:lvl w:ilvl="3" w:tplc="DC66E20E" w:tentative="1">
      <w:start w:val="1"/>
      <w:numFmt w:val="bullet"/>
      <w:lvlText w:val="•"/>
      <w:lvlJc w:val="left"/>
      <w:pPr>
        <w:tabs>
          <w:tab w:val="num" w:pos="2880"/>
        </w:tabs>
        <w:ind w:left="2880" w:hanging="360"/>
      </w:pPr>
      <w:rPr>
        <w:rFonts w:ascii="Georgia" w:hAnsi="Georgia" w:hint="default"/>
      </w:rPr>
    </w:lvl>
    <w:lvl w:ilvl="4" w:tplc="C130D7CE" w:tentative="1">
      <w:start w:val="1"/>
      <w:numFmt w:val="bullet"/>
      <w:lvlText w:val="•"/>
      <w:lvlJc w:val="left"/>
      <w:pPr>
        <w:tabs>
          <w:tab w:val="num" w:pos="3600"/>
        </w:tabs>
        <w:ind w:left="3600" w:hanging="360"/>
      </w:pPr>
      <w:rPr>
        <w:rFonts w:ascii="Georgia" w:hAnsi="Georgia" w:hint="default"/>
      </w:rPr>
    </w:lvl>
    <w:lvl w:ilvl="5" w:tplc="ACE2E7F6" w:tentative="1">
      <w:start w:val="1"/>
      <w:numFmt w:val="bullet"/>
      <w:lvlText w:val="•"/>
      <w:lvlJc w:val="left"/>
      <w:pPr>
        <w:tabs>
          <w:tab w:val="num" w:pos="4320"/>
        </w:tabs>
        <w:ind w:left="4320" w:hanging="360"/>
      </w:pPr>
      <w:rPr>
        <w:rFonts w:ascii="Georgia" w:hAnsi="Georgia" w:hint="default"/>
      </w:rPr>
    </w:lvl>
    <w:lvl w:ilvl="6" w:tplc="6B7E2172" w:tentative="1">
      <w:start w:val="1"/>
      <w:numFmt w:val="bullet"/>
      <w:lvlText w:val="•"/>
      <w:lvlJc w:val="left"/>
      <w:pPr>
        <w:tabs>
          <w:tab w:val="num" w:pos="5040"/>
        </w:tabs>
        <w:ind w:left="5040" w:hanging="360"/>
      </w:pPr>
      <w:rPr>
        <w:rFonts w:ascii="Georgia" w:hAnsi="Georgia" w:hint="default"/>
      </w:rPr>
    </w:lvl>
    <w:lvl w:ilvl="7" w:tplc="701C53A0" w:tentative="1">
      <w:start w:val="1"/>
      <w:numFmt w:val="bullet"/>
      <w:lvlText w:val="•"/>
      <w:lvlJc w:val="left"/>
      <w:pPr>
        <w:tabs>
          <w:tab w:val="num" w:pos="5760"/>
        </w:tabs>
        <w:ind w:left="5760" w:hanging="360"/>
      </w:pPr>
      <w:rPr>
        <w:rFonts w:ascii="Georgia" w:hAnsi="Georgia" w:hint="default"/>
      </w:rPr>
    </w:lvl>
    <w:lvl w:ilvl="8" w:tplc="8210239C" w:tentative="1">
      <w:start w:val="1"/>
      <w:numFmt w:val="bullet"/>
      <w:lvlText w:val="•"/>
      <w:lvlJc w:val="left"/>
      <w:pPr>
        <w:tabs>
          <w:tab w:val="num" w:pos="6480"/>
        </w:tabs>
        <w:ind w:left="6480" w:hanging="360"/>
      </w:pPr>
      <w:rPr>
        <w:rFonts w:ascii="Georgia" w:hAnsi="Georgia" w:hint="default"/>
      </w:rPr>
    </w:lvl>
  </w:abstractNum>
  <w:abstractNum w:abstractNumId="39" w15:restartNumberingAfterBreak="0">
    <w:nsid w:val="6AA20654"/>
    <w:multiLevelType w:val="hybridMultilevel"/>
    <w:tmpl w:val="EEE8D748"/>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B637800"/>
    <w:multiLevelType w:val="hybridMultilevel"/>
    <w:tmpl w:val="CE5AD026"/>
    <w:lvl w:ilvl="0" w:tplc="150234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BD16E7C"/>
    <w:multiLevelType w:val="hybridMultilevel"/>
    <w:tmpl w:val="47F8847A"/>
    <w:lvl w:ilvl="0" w:tplc="AB68439A">
      <w:start w:val="1"/>
      <w:numFmt w:val="decimal"/>
      <w:lvlText w:val="%1."/>
      <w:lvlJc w:val="left"/>
      <w:pPr>
        <w:ind w:left="720" w:hanging="360"/>
      </w:pPr>
      <w:rPr>
        <w:rFonts w:ascii="Arial Narrow" w:hAnsi="Arial Narrow"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7345CD"/>
    <w:multiLevelType w:val="hybridMultilevel"/>
    <w:tmpl w:val="05E0AA42"/>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3" w15:restartNumberingAfterBreak="0">
    <w:nsid w:val="6F5A2061"/>
    <w:multiLevelType w:val="hybridMultilevel"/>
    <w:tmpl w:val="3BB05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0315F60"/>
    <w:multiLevelType w:val="hybridMultilevel"/>
    <w:tmpl w:val="02282556"/>
    <w:lvl w:ilvl="0" w:tplc="265C181A">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AF034E"/>
    <w:multiLevelType w:val="hybridMultilevel"/>
    <w:tmpl w:val="9A0C30D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 w15:restartNumberingAfterBreak="0">
    <w:nsid w:val="78941BA1"/>
    <w:multiLevelType w:val="hybridMultilevel"/>
    <w:tmpl w:val="68FC1C9E"/>
    <w:lvl w:ilvl="0" w:tplc="79BA42CE">
      <w:start w:val="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BBA5C9A"/>
    <w:multiLevelType w:val="multilevel"/>
    <w:tmpl w:val="D4A0B5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6"/>
  </w:num>
  <w:num w:numId="3">
    <w:abstractNumId w:val="14"/>
  </w:num>
  <w:num w:numId="4">
    <w:abstractNumId w:val="9"/>
  </w:num>
  <w:num w:numId="5">
    <w:abstractNumId w:val="20"/>
  </w:num>
  <w:num w:numId="6">
    <w:abstractNumId w:val="46"/>
  </w:num>
  <w:num w:numId="7">
    <w:abstractNumId w:val="12"/>
  </w:num>
  <w:num w:numId="8">
    <w:abstractNumId w:val="32"/>
  </w:num>
  <w:num w:numId="9">
    <w:abstractNumId w:val="42"/>
  </w:num>
  <w:num w:numId="10">
    <w:abstractNumId w:val="41"/>
  </w:num>
  <w:num w:numId="11">
    <w:abstractNumId w:val="23"/>
  </w:num>
  <w:num w:numId="12">
    <w:abstractNumId w:val="43"/>
  </w:num>
  <w:num w:numId="13">
    <w:abstractNumId w:val="34"/>
  </w:num>
  <w:num w:numId="14">
    <w:abstractNumId w:val="10"/>
  </w:num>
  <w:num w:numId="15">
    <w:abstractNumId w:val="8"/>
  </w:num>
  <w:num w:numId="16">
    <w:abstractNumId w:val="0"/>
  </w:num>
  <w:num w:numId="17">
    <w:abstractNumId w:val="26"/>
  </w:num>
  <w:num w:numId="18">
    <w:abstractNumId w:val="37"/>
  </w:num>
  <w:num w:numId="19">
    <w:abstractNumId w:val="44"/>
  </w:num>
  <w:num w:numId="20">
    <w:abstractNumId w:val="22"/>
  </w:num>
  <w:num w:numId="21">
    <w:abstractNumId w:val="38"/>
  </w:num>
  <w:num w:numId="22">
    <w:abstractNumId w:val="5"/>
  </w:num>
  <w:num w:numId="23">
    <w:abstractNumId w:val="40"/>
  </w:num>
  <w:num w:numId="24">
    <w:abstractNumId w:val="7"/>
  </w:num>
  <w:num w:numId="25">
    <w:abstractNumId w:val="27"/>
  </w:num>
  <w:num w:numId="26">
    <w:abstractNumId w:val="31"/>
  </w:num>
  <w:num w:numId="27">
    <w:abstractNumId w:val="19"/>
  </w:num>
  <w:num w:numId="28">
    <w:abstractNumId w:val="13"/>
  </w:num>
  <w:num w:numId="29">
    <w:abstractNumId w:val="2"/>
  </w:num>
  <w:num w:numId="30">
    <w:abstractNumId w:val="39"/>
  </w:num>
  <w:num w:numId="31">
    <w:abstractNumId w:val="33"/>
  </w:num>
  <w:num w:numId="32">
    <w:abstractNumId w:val="4"/>
  </w:num>
  <w:num w:numId="33">
    <w:abstractNumId w:val="3"/>
  </w:num>
  <w:num w:numId="34">
    <w:abstractNumId w:val="35"/>
  </w:num>
  <w:num w:numId="35">
    <w:abstractNumId w:val="1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8"/>
  </w:num>
  <w:num w:numId="39">
    <w:abstractNumId w:val="4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
  </w:num>
  <w:num w:numId="43">
    <w:abstractNumId w:val="30"/>
  </w:num>
  <w:num w:numId="44">
    <w:abstractNumId w:val="36"/>
  </w:num>
  <w:num w:numId="45">
    <w:abstractNumId w:val="29"/>
  </w:num>
  <w:num w:numId="46">
    <w:abstractNumId w:val="47"/>
  </w:num>
  <w:num w:numId="47">
    <w:abstractNumId w:val="21"/>
  </w:num>
  <w:num w:numId="48">
    <w:abstractNumId w:val="25"/>
  </w:num>
  <w:num w:numId="4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CB"/>
    <w:rsid w:val="0000227F"/>
    <w:rsid w:val="000033D3"/>
    <w:rsid w:val="00006D35"/>
    <w:rsid w:val="00020D1B"/>
    <w:rsid w:val="000238DD"/>
    <w:rsid w:val="00026633"/>
    <w:rsid w:val="00030F15"/>
    <w:rsid w:val="00032B5E"/>
    <w:rsid w:val="00047175"/>
    <w:rsid w:val="00057B91"/>
    <w:rsid w:val="00072B20"/>
    <w:rsid w:val="0007767F"/>
    <w:rsid w:val="0008093E"/>
    <w:rsid w:val="0009126A"/>
    <w:rsid w:val="00094181"/>
    <w:rsid w:val="000956F6"/>
    <w:rsid w:val="000A231C"/>
    <w:rsid w:val="000A5DBD"/>
    <w:rsid w:val="000A7491"/>
    <w:rsid w:val="000B1391"/>
    <w:rsid w:val="000E4B9F"/>
    <w:rsid w:val="000E4EB8"/>
    <w:rsid w:val="000E559E"/>
    <w:rsid w:val="000F3366"/>
    <w:rsid w:val="001004C5"/>
    <w:rsid w:val="00101956"/>
    <w:rsid w:val="00111DD4"/>
    <w:rsid w:val="001207BA"/>
    <w:rsid w:val="00121B31"/>
    <w:rsid w:val="00125570"/>
    <w:rsid w:val="00137464"/>
    <w:rsid w:val="001535FC"/>
    <w:rsid w:val="0015516E"/>
    <w:rsid w:val="0016154E"/>
    <w:rsid w:val="001625B7"/>
    <w:rsid w:val="00162714"/>
    <w:rsid w:val="00171C1A"/>
    <w:rsid w:val="00173DEE"/>
    <w:rsid w:val="00187D1E"/>
    <w:rsid w:val="00191112"/>
    <w:rsid w:val="001B053B"/>
    <w:rsid w:val="001B2F0B"/>
    <w:rsid w:val="001B301B"/>
    <w:rsid w:val="001B3D28"/>
    <w:rsid w:val="001B4EC6"/>
    <w:rsid w:val="001C3089"/>
    <w:rsid w:val="001C6A36"/>
    <w:rsid w:val="001E0C0B"/>
    <w:rsid w:val="001E19D4"/>
    <w:rsid w:val="001E6C42"/>
    <w:rsid w:val="001F28C0"/>
    <w:rsid w:val="001F36DB"/>
    <w:rsid w:val="001F6EA7"/>
    <w:rsid w:val="00212E3B"/>
    <w:rsid w:val="00213CE7"/>
    <w:rsid w:val="0021430F"/>
    <w:rsid w:val="002150B3"/>
    <w:rsid w:val="002226D4"/>
    <w:rsid w:val="002258C1"/>
    <w:rsid w:val="00230B90"/>
    <w:rsid w:val="00240384"/>
    <w:rsid w:val="00247EF6"/>
    <w:rsid w:val="00254A9C"/>
    <w:rsid w:val="00254E99"/>
    <w:rsid w:val="0025549C"/>
    <w:rsid w:val="00255A61"/>
    <w:rsid w:val="00255FE3"/>
    <w:rsid w:val="0026249D"/>
    <w:rsid w:val="00262F85"/>
    <w:rsid w:val="00265F7C"/>
    <w:rsid w:val="00296590"/>
    <w:rsid w:val="002A2AF0"/>
    <w:rsid w:val="002A7472"/>
    <w:rsid w:val="002A7B61"/>
    <w:rsid w:val="002C5904"/>
    <w:rsid w:val="002D2CF0"/>
    <w:rsid w:val="002D3509"/>
    <w:rsid w:val="002D3529"/>
    <w:rsid w:val="002D7B35"/>
    <w:rsid w:val="002E202A"/>
    <w:rsid w:val="002E3D8A"/>
    <w:rsid w:val="002F0ECA"/>
    <w:rsid w:val="00310093"/>
    <w:rsid w:val="00313ACA"/>
    <w:rsid w:val="0031545E"/>
    <w:rsid w:val="00334F62"/>
    <w:rsid w:val="003365BD"/>
    <w:rsid w:val="0034135E"/>
    <w:rsid w:val="00342C61"/>
    <w:rsid w:val="0035375E"/>
    <w:rsid w:val="00360FD7"/>
    <w:rsid w:val="00361F79"/>
    <w:rsid w:val="00377D51"/>
    <w:rsid w:val="00393026"/>
    <w:rsid w:val="003B0C62"/>
    <w:rsid w:val="003B1C48"/>
    <w:rsid w:val="003C35C0"/>
    <w:rsid w:val="003C4342"/>
    <w:rsid w:val="003C5911"/>
    <w:rsid w:val="003D3DC1"/>
    <w:rsid w:val="003E034D"/>
    <w:rsid w:val="003E6B14"/>
    <w:rsid w:val="003F06E5"/>
    <w:rsid w:val="00403E06"/>
    <w:rsid w:val="00416C5B"/>
    <w:rsid w:val="0041708B"/>
    <w:rsid w:val="0043157F"/>
    <w:rsid w:val="004414E7"/>
    <w:rsid w:val="0044323C"/>
    <w:rsid w:val="0047355B"/>
    <w:rsid w:val="00473EDD"/>
    <w:rsid w:val="00480E7E"/>
    <w:rsid w:val="004835E8"/>
    <w:rsid w:val="004841A0"/>
    <w:rsid w:val="00493CD6"/>
    <w:rsid w:val="004A2AA3"/>
    <w:rsid w:val="004B08BF"/>
    <w:rsid w:val="004B0F24"/>
    <w:rsid w:val="004B2F29"/>
    <w:rsid w:val="004C6991"/>
    <w:rsid w:val="004D0F5C"/>
    <w:rsid w:val="004D2CB9"/>
    <w:rsid w:val="004E4950"/>
    <w:rsid w:val="004F695E"/>
    <w:rsid w:val="004F75D7"/>
    <w:rsid w:val="00514B36"/>
    <w:rsid w:val="00536971"/>
    <w:rsid w:val="00537E51"/>
    <w:rsid w:val="005428D5"/>
    <w:rsid w:val="00547A0E"/>
    <w:rsid w:val="00552210"/>
    <w:rsid w:val="00561306"/>
    <w:rsid w:val="00572DA1"/>
    <w:rsid w:val="00582CF8"/>
    <w:rsid w:val="005871C7"/>
    <w:rsid w:val="00591479"/>
    <w:rsid w:val="00593CE6"/>
    <w:rsid w:val="00597B23"/>
    <w:rsid w:val="005A0A06"/>
    <w:rsid w:val="005B1859"/>
    <w:rsid w:val="005B68C5"/>
    <w:rsid w:val="005C7C9F"/>
    <w:rsid w:val="005D23C6"/>
    <w:rsid w:val="005D3F30"/>
    <w:rsid w:val="005D4C93"/>
    <w:rsid w:val="005E202F"/>
    <w:rsid w:val="005E70B8"/>
    <w:rsid w:val="005F76EF"/>
    <w:rsid w:val="00600F6B"/>
    <w:rsid w:val="0060130F"/>
    <w:rsid w:val="00620548"/>
    <w:rsid w:val="006310F9"/>
    <w:rsid w:val="00631233"/>
    <w:rsid w:val="006403BC"/>
    <w:rsid w:val="0064054F"/>
    <w:rsid w:val="006477FA"/>
    <w:rsid w:val="00656027"/>
    <w:rsid w:val="00661CDC"/>
    <w:rsid w:val="0067398D"/>
    <w:rsid w:val="00677249"/>
    <w:rsid w:val="00677AA3"/>
    <w:rsid w:val="0068421D"/>
    <w:rsid w:val="006A0F9A"/>
    <w:rsid w:val="006A344A"/>
    <w:rsid w:val="006A46DF"/>
    <w:rsid w:val="006A5BEB"/>
    <w:rsid w:val="006A5F60"/>
    <w:rsid w:val="006B29B5"/>
    <w:rsid w:val="006E3F06"/>
    <w:rsid w:val="006E4263"/>
    <w:rsid w:val="006F3073"/>
    <w:rsid w:val="0070169F"/>
    <w:rsid w:val="00704CA7"/>
    <w:rsid w:val="0071166A"/>
    <w:rsid w:val="00711F1D"/>
    <w:rsid w:val="00714D15"/>
    <w:rsid w:val="00716FCE"/>
    <w:rsid w:val="00724642"/>
    <w:rsid w:val="007347B1"/>
    <w:rsid w:val="00735725"/>
    <w:rsid w:val="0073669B"/>
    <w:rsid w:val="00744056"/>
    <w:rsid w:val="00744ADA"/>
    <w:rsid w:val="00750D28"/>
    <w:rsid w:val="00762022"/>
    <w:rsid w:val="00765B26"/>
    <w:rsid w:val="007708EA"/>
    <w:rsid w:val="00770A61"/>
    <w:rsid w:val="00786EEF"/>
    <w:rsid w:val="00792AEB"/>
    <w:rsid w:val="007955E3"/>
    <w:rsid w:val="007A0CB7"/>
    <w:rsid w:val="007A305A"/>
    <w:rsid w:val="007A4827"/>
    <w:rsid w:val="007B13AE"/>
    <w:rsid w:val="007B1ED9"/>
    <w:rsid w:val="007B5A7C"/>
    <w:rsid w:val="007B6CCA"/>
    <w:rsid w:val="007C54F5"/>
    <w:rsid w:val="007D6EA2"/>
    <w:rsid w:val="007E0EFD"/>
    <w:rsid w:val="007F5951"/>
    <w:rsid w:val="00821E09"/>
    <w:rsid w:val="0082329E"/>
    <w:rsid w:val="008308EB"/>
    <w:rsid w:val="00832895"/>
    <w:rsid w:val="00834FBD"/>
    <w:rsid w:val="00850304"/>
    <w:rsid w:val="008523DC"/>
    <w:rsid w:val="00857707"/>
    <w:rsid w:val="008629D0"/>
    <w:rsid w:val="008722EB"/>
    <w:rsid w:val="0087675E"/>
    <w:rsid w:val="008779AE"/>
    <w:rsid w:val="008B3CCA"/>
    <w:rsid w:val="008C7209"/>
    <w:rsid w:val="008F1E19"/>
    <w:rsid w:val="008F3949"/>
    <w:rsid w:val="00910C7C"/>
    <w:rsid w:val="0091474D"/>
    <w:rsid w:val="009161AF"/>
    <w:rsid w:val="00924143"/>
    <w:rsid w:val="009267AD"/>
    <w:rsid w:val="00934AB2"/>
    <w:rsid w:val="00953287"/>
    <w:rsid w:val="00954B72"/>
    <w:rsid w:val="00963098"/>
    <w:rsid w:val="00963D06"/>
    <w:rsid w:val="00966E3C"/>
    <w:rsid w:val="00967130"/>
    <w:rsid w:val="00973E89"/>
    <w:rsid w:val="009777C7"/>
    <w:rsid w:val="00981DA9"/>
    <w:rsid w:val="00984224"/>
    <w:rsid w:val="009849B3"/>
    <w:rsid w:val="009850AF"/>
    <w:rsid w:val="00995C1E"/>
    <w:rsid w:val="00997776"/>
    <w:rsid w:val="009C014F"/>
    <w:rsid w:val="009C32B1"/>
    <w:rsid w:val="009C731B"/>
    <w:rsid w:val="009D5641"/>
    <w:rsid w:val="009E0823"/>
    <w:rsid w:val="009E7D6E"/>
    <w:rsid w:val="00A03AC8"/>
    <w:rsid w:val="00A04209"/>
    <w:rsid w:val="00A2767A"/>
    <w:rsid w:val="00A2796E"/>
    <w:rsid w:val="00A315B9"/>
    <w:rsid w:val="00A317C9"/>
    <w:rsid w:val="00A400C1"/>
    <w:rsid w:val="00A508D6"/>
    <w:rsid w:val="00A52346"/>
    <w:rsid w:val="00A538A1"/>
    <w:rsid w:val="00A61D39"/>
    <w:rsid w:val="00A71241"/>
    <w:rsid w:val="00A84F97"/>
    <w:rsid w:val="00A8677A"/>
    <w:rsid w:val="00A86ABF"/>
    <w:rsid w:val="00AA3CF9"/>
    <w:rsid w:val="00AA65BE"/>
    <w:rsid w:val="00AA7765"/>
    <w:rsid w:val="00AC1D1A"/>
    <w:rsid w:val="00AC1E68"/>
    <w:rsid w:val="00AD5ACA"/>
    <w:rsid w:val="00AF5ACD"/>
    <w:rsid w:val="00B10B36"/>
    <w:rsid w:val="00B13CB7"/>
    <w:rsid w:val="00B265B3"/>
    <w:rsid w:val="00B273EE"/>
    <w:rsid w:val="00B27685"/>
    <w:rsid w:val="00B53EC4"/>
    <w:rsid w:val="00B725DB"/>
    <w:rsid w:val="00B76400"/>
    <w:rsid w:val="00B822F3"/>
    <w:rsid w:val="00B8344B"/>
    <w:rsid w:val="00B9287A"/>
    <w:rsid w:val="00B95AA9"/>
    <w:rsid w:val="00BA0EE9"/>
    <w:rsid w:val="00BC5308"/>
    <w:rsid w:val="00BC6F18"/>
    <w:rsid w:val="00BD3965"/>
    <w:rsid w:val="00BE0357"/>
    <w:rsid w:val="00BE112B"/>
    <w:rsid w:val="00BF1C91"/>
    <w:rsid w:val="00BF3AB9"/>
    <w:rsid w:val="00C01EBE"/>
    <w:rsid w:val="00C026F1"/>
    <w:rsid w:val="00C10E2C"/>
    <w:rsid w:val="00C11675"/>
    <w:rsid w:val="00C13A14"/>
    <w:rsid w:val="00C13FCF"/>
    <w:rsid w:val="00C203BB"/>
    <w:rsid w:val="00C234F8"/>
    <w:rsid w:val="00C2777D"/>
    <w:rsid w:val="00C32D3B"/>
    <w:rsid w:val="00C506C5"/>
    <w:rsid w:val="00C62FB0"/>
    <w:rsid w:val="00C63DE7"/>
    <w:rsid w:val="00C75767"/>
    <w:rsid w:val="00C77E3C"/>
    <w:rsid w:val="00C86D2E"/>
    <w:rsid w:val="00C929A6"/>
    <w:rsid w:val="00C95B9A"/>
    <w:rsid w:val="00C96DC3"/>
    <w:rsid w:val="00C97AEC"/>
    <w:rsid w:val="00CB204A"/>
    <w:rsid w:val="00CC339B"/>
    <w:rsid w:val="00CC428B"/>
    <w:rsid w:val="00CC7950"/>
    <w:rsid w:val="00CC7E3B"/>
    <w:rsid w:val="00CD2D5D"/>
    <w:rsid w:val="00CD41DC"/>
    <w:rsid w:val="00CD4B24"/>
    <w:rsid w:val="00CD5E87"/>
    <w:rsid w:val="00CD726B"/>
    <w:rsid w:val="00CE2BC5"/>
    <w:rsid w:val="00CE4CEF"/>
    <w:rsid w:val="00CE5C28"/>
    <w:rsid w:val="00CF096B"/>
    <w:rsid w:val="00CF09D4"/>
    <w:rsid w:val="00CF11C0"/>
    <w:rsid w:val="00CF56CD"/>
    <w:rsid w:val="00D073D5"/>
    <w:rsid w:val="00D11B04"/>
    <w:rsid w:val="00D1730B"/>
    <w:rsid w:val="00D21EAA"/>
    <w:rsid w:val="00D41DD2"/>
    <w:rsid w:val="00D47BB5"/>
    <w:rsid w:val="00D541EB"/>
    <w:rsid w:val="00D54D0B"/>
    <w:rsid w:val="00D5724F"/>
    <w:rsid w:val="00D62FF7"/>
    <w:rsid w:val="00D6402D"/>
    <w:rsid w:val="00D66A79"/>
    <w:rsid w:val="00D7213A"/>
    <w:rsid w:val="00D74F80"/>
    <w:rsid w:val="00D816C4"/>
    <w:rsid w:val="00D82DDA"/>
    <w:rsid w:val="00D86668"/>
    <w:rsid w:val="00D92519"/>
    <w:rsid w:val="00D948B1"/>
    <w:rsid w:val="00D96D67"/>
    <w:rsid w:val="00DC06DD"/>
    <w:rsid w:val="00DC34B7"/>
    <w:rsid w:val="00DC39FD"/>
    <w:rsid w:val="00DD40AB"/>
    <w:rsid w:val="00DD6109"/>
    <w:rsid w:val="00DD7DED"/>
    <w:rsid w:val="00E16510"/>
    <w:rsid w:val="00E178E8"/>
    <w:rsid w:val="00E25A09"/>
    <w:rsid w:val="00E36FA1"/>
    <w:rsid w:val="00E4162E"/>
    <w:rsid w:val="00E42DB0"/>
    <w:rsid w:val="00E501C8"/>
    <w:rsid w:val="00E54ACB"/>
    <w:rsid w:val="00E67713"/>
    <w:rsid w:val="00E71270"/>
    <w:rsid w:val="00E717F8"/>
    <w:rsid w:val="00E7729B"/>
    <w:rsid w:val="00E84FB4"/>
    <w:rsid w:val="00E90E4B"/>
    <w:rsid w:val="00E933C1"/>
    <w:rsid w:val="00E974BC"/>
    <w:rsid w:val="00E975A2"/>
    <w:rsid w:val="00EA3AFC"/>
    <w:rsid w:val="00EA5D78"/>
    <w:rsid w:val="00EA78C6"/>
    <w:rsid w:val="00EB26C0"/>
    <w:rsid w:val="00EB2F61"/>
    <w:rsid w:val="00EB4EE8"/>
    <w:rsid w:val="00EB73AD"/>
    <w:rsid w:val="00EE36F7"/>
    <w:rsid w:val="00EE43E7"/>
    <w:rsid w:val="00EF4B9C"/>
    <w:rsid w:val="00F01880"/>
    <w:rsid w:val="00F039E3"/>
    <w:rsid w:val="00F054DD"/>
    <w:rsid w:val="00F11BE5"/>
    <w:rsid w:val="00F160F3"/>
    <w:rsid w:val="00F17045"/>
    <w:rsid w:val="00F20AD6"/>
    <w:rsid w:val="00F31B03"/>
    <w:rsid w:val="00F31CA8"/>
    <w:rsid w:val="00F44AE6"/>
    <w:rsid w:val="00F45221"/>
    <w:rsid w:val="00F45A7B"/>
    <w:rsid w:val="00F47B60"/>
    <w:rsid w:val="00F47D84"/>
    <w:rsid w:val="00F50ECB"/>
    <w:rsid w:val="00F510FE"/>
    <w:rsid w:val="00F51157"/>
    <w:rsid w:val="00F523BD"/>
    <w:rsid w:val="00F60C89"/>
    <w:rsid w:val="00F645CA"/>
    <w:rsid w:val="00F647FC"/>
    <w:rsid w:val="00F6490C"/>
    <w:rsid w:val="00F6675E"/>
    <w:rsid w:val="00F760CD"/>
    <w:rsid w:val="00F76909"/>
    <w:rsid w:val="00F818A2"/>
    <w:rsid w:val="00F94C45"/>
    <w:rsid w:val="00FA6984"/>
    <w:rsid w:val="00FA69A2"/>
    <w:rsid w:val="00FA7A7F"/>
    <w:rsid w:val="00FB3D96"/>
    <w:rsid w:val="00FC76AC"/>
    <w:rsid w:val="00FD124E"/>
    <w:rsid w:val="00FE311B"/>
    <w:rsid w:val="00FE3EA6"/>
    <w:rsid w:val="00FF3A1B"/>
    <w:rsid w:val="00FF5A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467"/>
  <w15:docId w15:val="{DE6237B7-30AD-4FFF-814B-D62BFE53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4ACB"/>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styleId="Nadpis1">
    <w:name w:val="heading 1"/>
    <w:basedOn w:val="Normlny"/>
    <w:next w:val="Normlny"/>
    <w:link w:val="Nadpis1Char"/>
    <w:uiPriority w:val="99"/>
    <w:qFormat/>
    <w:rsid w:val="00E54ACB"/>
    <w:pPr>
      <w:outlineLvl w:val="0"/>
    </w:pPr>
  </w:style>
  <w:style w:type="paragraph" w:styleId="Nadpis2">
    <w:name w:val="heading 2"/>
    <w:basedOn w:val="Normlny"/>
    <w:next w:val="Normlny"/>
    <w:link w:val="Nadpis2Char"/>
    <w:uiPriority w:val="99"/>
    <w:qFormat/>
    <w:rsid w:val="00E54ACB"/>
    <w:pPr>
      <w:outlineLvl w:val="1"/>
    </w:pPr>
  </w:style>
  <w:style w:type="paragraph" w:styleId="Nadpis3">
    <w:name w:val="heading 3"/>
    <w:basedOn w:val="Normlny"/>
    <w:next w:val="Normlny"/>
    <w:link w:val="Nadpis3Char"/>
    <w:uiPriority w:val="9"/>
    <w:semiHidden/>
    <w:unhideWhenUsed/>
    <w:qFormat/>
    <w:rsid w:val="002D3529"/>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uiPriority w:val="9"/>
    <w:unhideWhenUsed/>
    <w:qFormat/>
    <w:rsid w:val="004414E7"/>
    <w:pPr>
      <w:keepNext/>
      <w:keepLines/>
      <w:widowControl/>
      <w:autoSpaceDE/>
      <w:autoSpaceDN/>
      <w:adjustRightInd/>
      <w:spacing w:before="200" w:line="276" w:lineRule="auto"/>
      <w:outlineLvl w:val="5"/>
    </w:pPr>
    <w:rPr>
      <w:rFonts w:ascii="Trebuchet MS" w:hAnsi="Trebuchet MS" w:cs="Times New Roman"/>
      <w:i/>
      <w:iCs/>
      <w:color w:val="202F69"/>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54ACB"/>
    <w:rPr>
      <w:rFonts w:ascii="Arial" w:eastAsia="Times New Roman" w:hAnsi="Arial" w:cs="Arial"/>
      <w:sz w:val="24"/>
      <w:szCs w:val="24"/>
      <w:lang w:eastAsia="sk-SK"/>
    </w:rPr>
  </w:style>
  <w:style w:type="character" w:customStyle="1" w:styleId="Nadpis2Char">
    <w:name w:val="Nadpis 2 Char"/>
    <w:basedOn w:val="Predvolenpsmoodseku"/>
    <w:link w:val="Nadpis2"/>
    <w:uiPriority w:val="99"/>
    <w:rsid w:val="00E54ACB"/>
    <w:rPr>
      <w:rFonts w:ascii="Arial" w:eastAsia="Times New Roman" w:hAnsi="Arial" w:cs="Arial"/>
      <w:sz w:val="24"/>
      <w:szCs w:val="24"/>
      <w:lang w:eastAsia="sk-SK"/>
    </w:rPr>
  </w:style>
  <w:style w:type="character" w:customStyle="1" w:styleId="Nadpis3Char">
    <w:name w:val="Nadpis 3 Char"/>
    <w:basedOn w:val="Predvolenpsmoodseku"/>
    <w:link w:val="Nadpis3"/>
    <w:uiPriority w:val="9"/>
    <w:semiHidden/>
    <w:rsid w:val="002D3529"/>
    <w:rPr>
      <w:rFonts w:asciiTheme="majorHAnsi" w:eastAsiaTheme="majorEastAsia" w:hAnsiTheme="majorHAnsi" w:cstheme="majorBidi"/>
      <w:b/>
      <w:bCs/>
      <w:color w:val="4F81BD" w:themeColor="accent1"/>
      <w:sz w:val="24"/>
      <w:szCs w:val="24"/>
      <w:lang w:eastAsia="sk-SK"/>
    </w:rPr>
  </w:style>
  <w:style w:type="character" w:customStyle="1" w:styleId="Nadpis6Char">
    <w:name w:val="Nadpis 6 Char"/>
    <w:basedOn w:val="Predvolenpsmoodseku"/>
    <w:link w:val="Nadpis6"/>
    <w:uiPriority w:val="9"/>
    <w:rsid w:val="004414E7"/>
    <w:rPr>
      <w:rFonts w:ascii="Trebuchet MS" w:eastAsia="Times New Roman" w:hAnsi="Trebuchet MS" w:cs="Times New Roman"/>
      <w:i/>
      <w:iCs/>
      <w:color w:val="202F69"/>
    </w:rPr>
  </w:style>
  <w:style w:type="paragraph" w:styleId="Textbubliny">
    <w:name w:val="Balloon Text"/>
    <w:basedOn w:val="Normlny"/>
    <w:link w:val="TextbublinyChar"/>
    <w:uiPriority w:val="99"/>
    <w:semiHidden/>
    <w:unhideWhenUsed/>
    <w:rsid w:val="00E54ACB"/>
    <w:rPr>
      <w:rFonts w:ascii="Tahoma" w:hAnsi="Tahoma" w:cs="Tahoma"/>
      <w:sz w:val="16"/>
      <w:szCs w:val="16"/>
    </w:rPr>
  </w:style>
  <w:style w:type="character" w:customStyle="1" w:styleId="TextbublinyChar">
    <w:name w:val="Text bubliny Char"/>
    <w:basedOn w:val="Predvolenpsmoodseku"/>
    <w:link w:val="Textbubliny"/>
    <w:uiPriority w:val="99"/>
    <w:semiHidden/>
    <w:rsid w:val="00E54ACB"/>
    <w:rPr>
      <w:rFonts w:ascii="Tahoma" w:eastAsia="Times New Roman" w:hAnsi="Tahoma" w:cs="Tahoma"/>
      <w:sz w:val="16"/>
      <w:szCs w:val="16"/>
      <w:lang w:eastAsia="sk-SK"/>
    </w:rPr>
  </w:style>
  <w:style w:type="paragraph" w:styleId="Odsekzoznamu">
    <w:name w:val="List Paragraph"/>
    <w:aliases w:val="body,Odsek zoznamu2,Dot pt,No Spacing1,List Paragraph Char Char Char,Indicator Text,Numbered Para 1,List Paragraph à moi,Odsek zoznamu4,LISTA,Listaszerű bekezdés2,Listaszerű bekezdés3,Listaszerű bekezdés1,F5 List Paragraph,Recommendation,3"/>
    <w:basedOn w:val="Normlny"/>
    <w:link w:val="OdsekzoznamuChar"/>
    <w:uiPriority w:val="34"/>
    <w:qFormat/>
    <w:rsid w:val="007708EA"/>
    <w:pPr>
      <w:widowControl/>
      <w:autoSpaceDE/>
      <w:autoSpaceDN/>
      <w:adjustRightInd/>
      <w:spacing w:after="200" w:line="276" w:lineRule="auto"/>
      <w:ind w:left="720"/>
      <w:contextualSpacing/>
    </w:pPr>
    <w:rPr>
      <w:rFonts w:ascii="Trebuchet MS" w:eastAsia="Trebuchet MS" w:hAnsi="Trebuchet MS" w:cs="Times New Roman"/>
      <w:sz w:val="22"/>
      <w:szCs w:val="22"/>
      <w:lang w:eastAsia="en-US"/>
    </w:rPr>
  </w:style>
  <w:style w:type="character" w:customStyle="1" w:styleId="OdsekzoznamuChar">
    <w:name w:val="Odsek zoznamu Char"/>
    <w:aliases w:val="body Char,Odsek zoznamu2 Char,Dot pt Char,No Spacing1 Char,List Paragraph Char Char Char Char,Indicator Text Char,Numbered Para 1 Char,List Paragraph à moi Char,Odsek zoznamu4 Char,LISTA Char,Listaszerű bekezdés2 Char,3 Char"/>
    <w:basedOn w:val="Predvolenpsmoodseku"/>
    <w:link w:val="Odsekzoznamu"/>
    <w:uiPriority w:val="34"/>
    <w:qFormat/>
    <w:rsid w:val="007708EA"/>
    <w:rPr>
      <w:rFonts w:ascii="Trebuchet MS" w:eastAsia="Trebuchet MS" w:hAnsi="Trebuchet MS" w:cs="Times New Roman"/>
    </w:rPr>
  </w:style>
  <w:style w:type="paragraph" w:styleId="Obsah1">
    <w:name w:val="toc 1"/>
    <w:basedOn w:val="Normlny"/>
    <w:next w:val="Normlny"/>
    <w:autoRedefine/>
    <w:uiPriority w:val="39"/>
    <w:unhideWhenUsed/>
    <w:qFormat/>
    <w:rsid w:val="009E0823"/>
    <w:pPr>
      <w:widowControl/>
      <w:autoSpaceDE/>
      <w:autoSpaceDN/>
      <w:adjustRightInd/>
      <w:spacing w:before="120" w:after="120" w:line="276" w:lineRule="auto"/>
    </w:pPr>
    <w:rPr>
      <w:rFonts w:ascii="Trebuchet MS" w:eastAsia="Trebuchet MS" w:hAnsi="Trebuchet MS" w:cs="Times New Roman"/>
      <w:b/>
      <w:bCs/>
      <w:caps/>
      <w:sz w:val="20"/>
      <w:szCs w:val="20"/>
      <w:lang w:eastAsia="en-US"/>
    </w:rPr>
  </w:style>
  <w:style w:type="character" w:styleId="Hypertextovprepojenie">
    <w:name w:val="Hyperlink"/>
    <w:uiPriority w:val="99"/>
    <w:unhideWhenUsed/>
    <w:rsid w:val="009E0823"/>
    <w:rPr>
      <w:color w:val="56C7AA"/>
      <w:u w:val="single"/>
    </w:rPr>
  </w:style>
  <w:style w:type="paragraph" w:styleId="Obsah2">
    <w:name w:val="toc 2"/>
    <w:basedOn w:val="Normlny"/>
    <w:next w:val="Normlny"/>
    <w:autoRedefine/>
    <w:uiPriority w:val="39"/>
    <w:unhideWhenUsed/>
    <w:qFormat/>
    <w:rsid w:val="009E0823"/>
    <w:pPr>
      <w:widowControl/>
      <w:autoSpaceDE/>
      <w:autoSpaceDN/>
      <w:adjustRightInd/>
      <w:spacing w:line="276" w:lineRule="auto"/>
      <w:ind w:left="220"/>
    </w:pPr>
    <w:rPr>
      <w:rFonts w:ascii="Trebuchet MS" w:eastAsia="Trebuchet MS" w:hAnsi="Trebuchet MS" w:cs="Times New Roman"/>
      <w:smallCaps/>
      <w:sz w:val="20"/>
      <w:szCs w:val="20"/>
      <w:lang w:eastAsia="en-US"/>
    </w:rPr>
  </w:style>
  <w:style w:type="paragraph" w:styleId="Obsah3">
    <w:name w:val="toc 3"/>
    <w:basedOn w:val="Normlny"/>
    <w:next w:val="Normlny"/>
    <w:autoRedefine/>
    <w:uiPriority w:val="39"/>
    <w:unhideWhenUsed/>
    <w:qFormat/>
    <w:rsid w:val="009E0823"/>
    <w:pPr>
      <w:widowControl/>
      <w:autoSpaceDE/>
      <w:autoSpaceDN/>
      <w:adjustRightInd/>
      <w:spacing w:line="276" w:lineRule="auto"/>
      <w:ind w:left="440"/>
    </w:pPr>
    <w:rPr>
      <w:rFonts w:ascii="Trebuchet MS" w:eastAsia="Trebuchet MS" w:hAnsi="Trebuchet MS" w:cs="Times New Roman"/>
      <w:i/>
      <w:iCs/>
      <w:sz w:val="20"/>
      <w:szCs w:val="20"/>
      <w:lang w:eastAsia="en-US"/>
    </w:rPr>
  </w:style>
  <w:style w:type="paragraph" w:styleId="Obsah4">
    <w:name w:val="toc 4"/>
    <w:basedOn w:val="Normlny"/>
    <w:next w:val="Normlny"/>
    <w:autoRedefine/>
    <w:uiPriority w:val="39"/>
    <w:unhideWhenUsed/>
    <w:rsid w:val="009E0823"/>
    <w:pPr>
      <w:widowControl/>
      <w:autoSpaceDE/>
      <w:autoSpaceDN/>
      <w:adjustRightInd/>
      <w:spacing w:line="276" w:lineRule="auto"/>
      <w:ind w:left="660"/>
    </w:pPr>
    <w:rPr>
      <w:rFonts w:ascii="Trebuchet MS" w:eastAsia="Trebuchet MS" w:hAnsi="Trebuchet MS" w:cs="Times New Roman"/>
      <w:sz w:val="18"/>
      <w:szCs w:val="18"/>
      <w:lang w:eastAsia="en-US"/>
    </w:rPr>
  </w:style>
  <w:style w:type="paragraph" w:styleId="Obsah5">
    <w:name w:val="toc 5"/>
    <w:basedOn w:val="Normlny"/>
    <w:next w:val="Normlny"/>
    <w:autoRedefine/>
    <w:uiPriority w:val="39"/>
    <w:unhideWhenUsed/>
    <w:rsid w:val="009E0823"/>
    <w:pPr>
      <w:widowControl/>
      <w:autoSpaceDE/>
      <w:autoSpaceDN/>
      <w:adjustRightInd/>
      <w:spacing w:line="276" w:lineRule="auto"/>
      <w:ind w:left="880"/>
    </w:pPr>
    <w:rPr>
      <w:rFonts w:ascii="Trebuchet MS" w:eastAsia="Trebuchet MS" w:hAnsi="Trebuchet MS" w:cs="Times New Roman"/>
      <w:sz w:val="18"/>
      <w:szCs w:val="18"/>
      <w:lang w:eastAsia="en-US"/>
    </w:rPr>
  </w:style>
  <w:style w:type="paragraph" w:styleId="Obsah6">
    <w:name w:val="toc 6"/>
    <w:basedOn w:val="Normlny"/>
    <w:next w:val="Normlny"/>
    <w:autoRedefine/>
    <w:uiPriority w:val="39"/>
    <w:unhideWhenUsed/>
    <w:rsid w:val="009E0823"/>
    <w:pPr>
      <w:widowControl/>
      <w:autoSpaceDE/>
      <w:autoSpaceDN/>
      <w:adjustRightInd/>
      <w:spacing w:line="276" w:lineRule="auto"/>
      <w:ind w:left="1100"/>
    </w:pPr>
    <w:rPr>
      <w:rFonts w:ascii="Trebuchet MS" w:eastAsia="Trebuchet MS" w:hAnsi="Trebuchet MS" w:cs="Times New Roman"/>
      <w:sz w:val="18"/>
      <w:szCs w:val="18"/>
      <w:lang w:eastAsia="en-US"/>
    </w:rPr>
  </w:style>
  <w:style w:type="paragraph" w:styleId="Hlavika">
    <w:name w:val="header"/>
    <w:basedOn w:val="Normlny"/>
    <w:link w:val="HlavikaChar"/>
    <w:uiPriority w:val="99"/>
    <w:rsid w:val="00B27685"/>
    <w:pPr>
      <w:widowControl/>
      <w:tabs>
        <w:tab w:val="center" w:pos="4703"/>
        <w:tab w:val="right" w:pos="9406"/>
      </w:tabs>
      <w:autoSpaceDE/>
      <w:autoSpaceDN/>
      <w:adjustRightInd/>
    </w:pPr>
    <w:rPr>
      <w:rFonts w:cs="Times New Roman"/>
      <w:sz w:val="16"/>
      <w:lang w:eastAsia="en-US"/>
    </w:rPr>
  </w:style>
  <w:style w:type="character" w:customStyle="1" w:styleId="HlavikaChar">
    <w:name w:val="Hlavička Char"/>
    <w:basedOn w:val="Predvolenpsmoodseku"/>
    <w:link w:val="Hlavika"/>
    <w:uiPriority w:val="99"/>
    <w:rsid w:val="00B27685"/>
    <w:rPr>
      <w:rFonts w:ascii="Arial" w:eastAsia="Times New Roman" w:hAnsi="Arial" w:cs="Times New Roman"/>
      <w:sz w:val="16"/>
      <w:szCs w:val="24"/>
    </w:rPr>
  </w:style>
  <w:style w:type="table" w:customStyle="1" w:styleId="Svetlmriekazvraznenie111">
    <w:name w:val="Svetlá mriežka – zvýraznenie 111"/>
    <w:basedOn w:val="Normlnatabuka"/>
    <w:uiPriority w:val="62"/>
    <w:rsid w:val="00C63DE7"/>
    <w:pPr>
      <w:spacing w:after="0" w:line="240" w:lineRule="auto"/>
    </w:pPr>
    <w:rPr>
      <w:rFonts w:ascii="Trebuchet MS" w:eastAsia="Trebuchet MS" w:hAnsi="Trebuchet MS" w:cs="Times New Roman"/>
      <w:sz w:val="20"/>
      <w:szCs w:val="20"/>
      <w:lang w:eastAsia="sk-SK"/>
    </w:rPr>
    <w:tblPr>
      <w:tblStyleRowBandSize w:val="1"/>
      <w:tblStyleColBandSize w:val="1"/>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Pr>
    <w:tblStylePr w:type="firstRow">
      <w:pPr>
        <w:spacing w:beforeLines="0" w:beforeAutospacing="0" w:afterLines="0" w:afterAutospacing="0" w:line="240" w:lineRule="auto"/>
      </w:pPr>
      <w:rPr>
        <w:rFonts w:ascii="Georgia" w:eastAsia="Times New Roman" w:hAnsi="Georgia"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Autospacing="0" w:afterLines="0" w:afterAutospacing="0" w:line="240" w:lineRule="auto"/>
      </w:pPr>
      <w:rPr>
        <w:rFonts w:ascii="Georgia" w:eastAsia="Times New Roman" w:hAnsi="Georgia"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styleId="Zvraznenie">
    <w:name w:val="Emphasis"/>
    <w:uiPriority w:val="20"/>
    <w:qFormat/>
    <w:rsid w:val="006310F9"/>
    <w:rPr>
      <w:i/>
      <w:iCs/>
    </w:rPr>
  </w:style>
  <w:style w:type="paragraph" w:styleId="Textpoznmkypodiarou">
    <w:name w:val="footnote text"/>
    <w:aliases w:val="Fußnotentextf,Fußnotentextr,stile 1,Footnote,Footnote1,Footnote2,Footnote3,Footnote4,Footnote5,Footnote6,Footnote7,Footnote8,Footnote9,Footnote10,Footnote11,Footnote21,Footnote31,Footnote41,Footnote51,Footnote61,Footnote71,f,o"/>
    <w:basedOn w:val="Normlny"/>
    <w:link w:val="TextpoznmkypodiarouChar"/>
    <w:uiPriority w:val="99"/>
    <w:unhideWhenUsed/>
    <w:qFormat/>
    <w:rsid w:val="00EB4EE8"/>
    <w:rPr>
      <w:sz w:val="20"/>
      <w:szCs w:val="20"/>
    </w:rPr>
  </w:style>
  <w:style w:type="character" w:customStyle="1" w:styleId="TextpoznmkypodiarouChar">
    <w:name w:val="Text poznámky pod čiarou Char"/>
    <w:aliases w:val="Fußnotentextf Char,Fußnotentextr Char,stile 1 Char,Footnote Char,Footnote1 Char,Footnote2 Char,Footnote3 Char,Footnote4 Char,Footnote5 Char,Footnote6 Char,Footnote7 Char,Footnote8 Char,Footnote9 Char,Footnote10 Char,f Char"/>
    <w:basedOn w:val="Predvolenpsmoodseku"/>
    <w:link w:val="Textpoznmkypodiarou"/>
    <w:uiPriority w:val="99"/>
    <w:rsid w:val="00EB4EE8"/>
    <w:rPr>
      <w:rFonts w:ascii="Arial" w:eastAsia="Times New Roman" w:hAnsi="Arial" w:cs="Arial"/>
      <w:sz w:val="20"/>
      <w:szCs w:val="20"/>
      <w:lang w:eastAsia="sk-SK"/>
    </w:rPr>
  </w:style>
  <w:style w:type="character" w:styleId="Odkaznapoznmkupodiarou">
    <w:name w:val="footnote reference"/>
    <w:aliases w:val="FRef ISO,Footnotes refss,Überschrift 4 Zchn1,Título 4 Car Zchn,Heading 4 Char1 Car Zchn,no vale 2 Zchn,no vale 2 Car Zchn,ftref,Footnote symbol,-E Fußnotenzeichen,ESPON Footnote No,Footnote call,Odwołanie przypisu,note TESI"/>
    <w:basedOn w:val="Predvolenpsmoodseku"/>
    <w:uiPriority w:val="99"/>
    <w:unhideWhenUsed/>
    <w:rsid w:val="00EB4EE8"/>
    <w:rPr>
      <w:vertAlign w:val="superscript"/>
    </w:rPr>
  </w:style>
  <w:style w:type="paragraph" w:customStyle="1" w:styleId="CM1">
    <w:name w:val="CM1"/>
    <w:basedOn w:val="Normlny"/>
    <w:next w:val="Normlny"/>
    <w:uiPriority w:val="99"/>
    <w:rsid w:val="00C203BB"/>
    <w:pPr>
      <w:widowControl/>
    </w:pPr>
    <w:rPr>
      <w:rFonts w:ascii="EUAlbertina" w:eastAsiaTheme="minorHAnsi" w:hAnsi="EUAlbertina" w:cstheme="minorBidi"/>
      <w:lang w:eastAsia="en-US"/>
    </w:rPr>
  </w:style>
  <w:style w:type="paragraph" w:customStyle="1" w:styleId="Default">
    <w:name w:val="Default"/>
    <w:uiPriority w:val="99"/>
    <w:rsid w:val="004A2AA3"/>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aliases w:val="Deloitte table 3"/>
    <w:basedOn w:val="Normlnatabuka"/>
    <w:uiPriority w:val="59"/>
    <w:rsid w:val="004A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73DEE"/>
    <w:rPr>
      <w:sz w:val="16"/>
      <w:szCs w:val="16"/>
    </w:rPr>
  </w:style>
  <w:style w:type="paragraph" w:styleId="Textkomentra">
    <w:name w:val="annotation text"/>
    <w:basedOn w:val="Normlny"/>
    <w:link w:val="TextkomentraChar"/>
    <w:uiPriority w:val="99"/>
    <w:unhideWhenUsed/>
    <w:rsid w:val="00173DEE"/>
    <w:rPr>
      <w:sz w:val="20"/>
      <w:szCs w:val="20"/>
    </w:rPr>
  </w:style>
  <w:style w:type="character" w:customStyle="1" w:styleId="TextkomentraChar">
    <w:name w:val="Text komentára Char"/>
    <w:basedOn w:val="Predvolenpsmoodseku"/>
    <w:link w:val="Textkomentra"/>
    <w:uiPriority w:val="99"/>
    <w:rsid w:val="00173DEE"/>
    <w:rPr>
      <w:rFonts w:ascii="Arial" w:eastAsia="Times New Roman" w:hAnsi="Arial" w:cs="Arial"/>
      <w:sz w:val="20"/>
      <w:szCs w:val="20"/>
      <w:lang w:eastAsia="sk-SK"/>
    </w:rPr>
  </w:style>
  <w:style w:type="paragraph" w:styleId="Predmetkomentra">
    <w:name w:val="annotation subject"/>
    <w:basedOn w:val="Textkomentra"/>
    <w:next w:val="Textkomentra"/>
    <w:link w:val="PredmetkomentraChar"/>
    <w:uiPriority w:val="99"/>
    <w:semiHidden/>
    <w:unhideWhenUsed/>
    <w:rsid w:val="00173DEE"/>
    <w:rPr>
      <w:b/>
      <w:bCs/>
    </w:rPr>
  </w:style>
  <w:style w:type="character" w:customStyle="1" w:styleId="PredmetkomentraChar">
    <w:name w:val="Predmet komentára Char"/>
    <w:basedOn w:val="TextkomentraChar"/>
    <w:link w:val="Predmetkomentra"/>
    <w:uiPriority w:val="99"/>
    <w:semiHidden/>
    <w:rsid w:val="00173DEE"/>
    <w:rPr>
      <w:rFonts w:ascii="Arial" w:eastAsia="Times New Roman" w:hAnsi="Arial" w:cs="Arial"/>
      <w:b/>
      <w:bCs/>
      <w:sz w:val="20"/>
      <w:szCs w:val="20"/>
      <w:lang w:eastAsia="sk-SK"/>
    </w:rPr>
  </w:style>
  <w:style w:type="paragraph" w:styleId="Pta">
    <w:name w:val="footer"/>
    <w:basedOn w:val="Normlny"/>
    <w:link w:val="PtaChar"/>
    <w:uiPriority w:val="99"/>
    <w:unhideWhenUsed/>
    <w:rsid w:val="00984224"/>
    <w:pPr>
      <w:tabs>
        <w:tab w:val="center" w:pos="4536"/>
        <w:tab w:val="right" w:pos="9072"/>
      </w:tabs>
    </w:pPr>
  </w:style>
  <w:style w:type="character" w:customStyle="1" w:styleId="PtaChar">
    <w:name w:val="Päta Char"/>
    <w:basedOn w:val="Predvolenpsmoodseku"/>
    <w:link w:val="Pta"/>
    <w:uiPriority w:val="99"/>
    <w:rsid w:val="00984224"/>
    <w:rPr>
      <w:rFonts w:ascii="Arial" w:eastAsia="Times New Roman" w:hAnsi="Arial" w:cs="Arial"/>
      <w:sz w:val="24"/>
      <w:szCs w:val="24"/>
      <w:lang w:eastAsia="sk-SK"/>
    </w:rPr>
  </w:style>
  <w:style w:type="character" w:styleId="Siln">
    <w:name w:val="Strong"/>
    <w:uiPriority w:val="22"/>
    <w:qFormat/>
    <w:rsid w:val="00F31CA8"/>
    <w:rPr>
      <w:b/>
      <w:bCs/>
    </w:rPr>
  </w:style>
  <w:style w:type="paragraph" w:customStyle="1" w:styleId="C">
    <w:name w:val="C"/>
    <w:qFormat/>
    <w:rsid w:val="004414E7"/>
    <w:pPr>
      <w:spacing w:afterLines="100" w:after="100" w:line="300" w:lineRule="exact"/>
    </w:pPr>
    <w:rPr>
      <w:rFonts w:ascii="Arial" w:hAnsi="Arial"/>
      <w:sz w:val="20"/>
    </w:rPr>
  </w:style>
  <w:style w:type="paragraph" w:styleId="Nzov">
    <w:name w:val="Title"/>
    <w:basedOn w:val="Normlny"/>
    <w:link w:val="NzovChar"/>
    <w:uiPriority w:val="10"/>
    <w:qFormat/>
    <w:rsid w:val="004414E7"/>
    <w:pPr>
      <w:widowControl/>
      <w:autoSpaceDE/>
      <w:autoSpaceDN/>
      <w:adjustRightInd/>
      <w:jc w:val="center"/>
    </w:pPr>
    <w:rPr>
      <w:rFonts w:ascii="Times New Roman" w:hAnsi="Times New Roman" w:cs="Times New Roman"/>
      <w:b/>
      <w:bCs/>
    </w:rPr>
  </w:style>
  <w:style w:type="character" w:customStyle="1" w:styleId="NzovChar">
    <w:name w:val="Názov Char"/>
    <w:basedOn w:val="Predvolenpsmoodseku"/>
    <w:link w:val="Nzov"/>
    <w:uiPriority w:val="10"/>
    <w:rsid w:val="004414E7"/>
    <w:rPr>
      <w:rFonts w:ascii="Times New Roman" w:eastAsia="Times New Roman" w:hAnsi="Times New Roman" w:cs="Times New Roman"/>
      <w:b/>
      <w:bCs/>
      <w:sz w:val="24"/>
      <w:szCs w:val="24"/>
      <w:lang w:eastAsia="sk-SK"/>
    </w:rPr>
  </w:style>
  <w:style w:type="paragraph" w:customStyle="1" w:styleId="CM3">
    <w:name w:val="CM3"/>
    <w:basedOn w:val="Default"/>
    <w:next w:val="Default"/>
    <w:uiPriority w:val="99"/>
    <w:rsid w:val="004414E7"/>
    <w:rPr>
      <w:rFonts w:ascii="EUAlbertina" w:hAnsi="EUAlbertina" w:cstheme="minorBidi"/>
      <w:color w:val="auto"/>
    </w:rPr>
  </w:style>
  <w:style w:type="character" w:customStyle="1" w:styleId="TextvysvetlivkyChar">
    <w:name w:val="Text vysvetlivky Char"/>
    <w:basedOn w:val="Predvolenpsmoodseku"/>
    <w:link w:val="Textvysvetlivky"/>
    <w:uiPriority w:val="99"/>
    <w:semiHidden/>
    <w:rsid w:val="004414E7"/>
    <w:rPr>
      <w:rFonts w:ascii="Trebuchet MS" w:eastAsia="Trebuchet MS" w:hAnsi="Trebuchet MS" w:cs="Times New Roman"/>
      <w:sz w:val="20"/>
      <w:szCs w:val="20"/>
    </w:rPr>
  </w:style>
  <w:style w:type="paragraph" w:styleId="Textvysvetlivky">
    <w:name w:val="endnote text"/>
    <w:basedOn w:val="Normlny"/>
    <w:link w:val="TextvysvetlivkyChar"/>
    <w:uiPriority w:val="99"/>
    <w:semiHidden/>
    <w:unhideWhenUsed/>
    <w:rsid w:val="004414E7"/>
    <w:pPr>
      <w:widowControl/>
      <w:autoSpaceDE/>
      <w:autoSpaceDN/>
      <w:adjustRightInd/>
    </w:pPr>
    <w:rPr>
      <w:rFonts w:ascii="Trebuchet MS" w:eastAsia="Trebuchet MS" w:hAnsi="Trebuchet MS" w:cs="Times New Roman"/>
      <w:sz w:val="20"/>
      <w:szCs w:val="20"/>
      <w:lang w:eastAsia="en-US"/>
    </w:rPr>
  </w:style>
  <w:style w:type="table" w:styleId="Tabukasmriekou1svetl">
    <w:name w:val="Grid Table 1 Light"/>
    <w:basedOn w:val="Normlnatabuka"/>
    <w:uiPriority w:val="46"/>
    <w:rsid w:val="004414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lnywebov">
    <w:name w:val="Normal (Web)"/>
    <w:basedOn w:val="Normlny"/>
    <w:uiPriority w:val="99"/>
    <w:unhideWhenUsed/>
    <w:rsid w:val="00187D1E"/>
    <w:pPr>
      <w:widowControl/>
      <w:autoSpaceDE/>
      <w:autoSpaceDN/>
      <w:adjustRightInd/>
      <w:spacing w:before="100" w:beforeAutospacing="1" w:after="100" w:afterAutospacing="1"/>
    </w:pPr>
    <w:rPr>
      <w:rFonts w:ascii="Times New Roman" w:hAnsi="Times New Roman" w:cs="Times New Roman"/>
    </w:rPr>
  </w:style>
  <w:style w:type="character" w:styleId="Odkaznavysvetlivku">
    <w:name w:val="endnote reference"/>
    <w:basedOn w:val="Predvolenpsmoodseku"/>
    <w:uiPriority w:val="99"/>
    <w:semiHidden/>
    <w:unhideWhenUsed/>
    <w:rsid w:val="00187D1E"/>
    <w:rPr>
      <w:vertAlign w:val="superscript"/>
    </w:rPr>
  </w:style>
  <w:style w:type="paragraph" w:styleId="Revzia">
    <w:name w:val="Revision"/>
    <w:hidden/>
    <w:uiPriority w:val="99"/>
    <w:semiHidden/>
    <w:rsid w:val="00187D1E"/>
    <w:pPr>
      <w:spacing w:after="0" w:line="240" w:lineRule="auto"/>
    </w:pPr>
  </w:style>
  <w:style w:type="paragraph" w:styleId="Zkladntext">
    <w:name w:val="Body Text"/>
    <w:basedOn w:val="Normlny"/>
    <w:link w:val="ZkladntextChar"/>
    <w:uiPriority w:val="1"/>
    <w:qFormat/>
    <w:rsid w:val="00591479"/>
    <w:pPr>
      <w:adjustRightInd/>
    </w:pPr>
    <w:rPr>
      <w:rFonts w:eastAsia="Arial"/>
      <w:sz w:val="22"/>
      <w:szCs w:val="22"/>
      <w:lang w:bidi="sk-SK"/>
    </w:rPr>
  </w:style>
  <w:style w:type="character" w:customStyle="1" w:styleId="ZkladntextChar">
    <w:name w:val="Základný text Char"/>
    <w:basedOn w:val="Predvolenpsmoodseku"/>
    <w:link w:val="Zkladntext"/>
    <w:uiPriority w:val="1"/>
    <w:rsid w:val="00591479"/>
    <w:rPr>
      <w:rFonts w:ascii="Arial" w:eastAsia="Arial" w:hAnsi="Arial" w:cs="Arial"/>
      <w:lang w:eastAsia="sk-SK" w:bidi="sk-SK"/>
    </w:rPr>
  </w:style>
  <w:style w:type="table" w:customStyle="1" w:styleId="Tabukasmriekou1svetl1">
    <w:name w:val="Tabuľka s mriežkou 1 – svetlá1"/>
    <w:basedOn w:val="Normlnatabuka"/>
    <w:uiPriority w:val="46"/>
    <w:rsid w:val="00377D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q4iawc">
    <w:name w:val="q4iawc"/>
    <w:basedOn w:val="Predvolenpsmoodseku"/>
    <w:rsid w:val="00AC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515">
      <w:bodyDiv w:val="1"/>
      <w:marLeft w:val="0"/>
      <w:marRight w:val="0"/>
      <w:marTop w:val="0"/>
      <w:marBottom w:val="0"/>
      <w:divBdr>
        <w:top w:val="none" w:sz="0" w:space="0" w:color="auto"/>
        <w:left w:val="none" w:sz="0" w:space="0" w:color="auto"/>
        <w:bottom w:val="none" w:sz="0" w:space="0" w:color="auto"/>
        <w:right w:val="none" w:sz="0" w:space="0" w:color="auto"/>
      </w:divBdr>
    </w:div>
    <w:div w:id="458230967">
      <w:bodyDiv w:val="1"/>
      <w:marLeft w:val="0"/>
      <w:marRight w:val="0"/>
      <w:marTop w:val="0"/>
      <w:marBottom w:val="0"/>
      <w:divBdr>
        <w:top w:val="none" w:sz="0" w:space="0" w:color="auto"/>
        <w:left w:val="none" w:sz="0" w:space="0" w:color="auto"/>
        <w:bottom w:val="none" w:sz="0" w:space="0" w:color="auto"/>
        <w:right w:val="none" w:sz="0" w:space="0" w:color="auto"/>
      </w:divBdr>
    </w:div>
    <w:div w:id="517932583">
      <w:bodyDiv w:val="1"/>
      <w:marLeft w:val="0"/>
      <w:marRight w:val="0"/>
      <w:marTop w:val="0"/>
      <w:marBottom w:val="0"/>
      <w:divBdr>
        <w:top w:val="none" w:sz="0" w:space="0" w:color="auto"/>
        <w:left w:val="none" w:sz="0" w:space="0" w:color="auto"/>
        <w:bottom w:val="none" w:sz="0" w:space="0" w:color="auto"/>
        <w:right w:val="none" w:sz="0" w:space="0" w:color="auto"/>
      </w:divBdr>
    </w:div>
    <w:div w:id="619606852">
      <w:bodyDiv w:val="1"/>
      <w:marLeft w:val="0"/>
      <w:marRight w:val="0"/>
      <w:marTop w:val="0"/>
      <w:marBottom w:val="0"/>
      <w:divBdr>
        <w:top w:val="none" w:sz="0" w:space="0" w:color="auto"/>
        <w:left w:val="none" w:sz="0" w:space="0" w:color="auto"/>
        <w:bottom w:val="none" w:sz="0" w:space="0" w:color="auto"/>
        <w:right w:val="none" w:sz="0" w:space="0" w:color="auto"/>
      </w:divBdr>
    </w:div>
    <w:div w:id="1509951317">
      <w:bodyDiv w:val="1"/>
      <w:marLeft w:val="0"/>
      <w:marRight w:val="0"/>
      <w:marTop w:val="0"/>
      <w:marBottom w:val="0"/>
      <w:divBdr>
        <w:top w:val="none" w:sz="0" w:space="0" w:color="auto"/>
        <w:left w:val="none" w:sz="0" w:space="0" w:color="auto"/>
        <w:bottom w:val="none" w:sz="0" w:space="0" w:color="auto"/>
        <w:right w:val="none" w:sz="0" w:space="0" w:color="auto"/>
      </w:divBdr>
    </w:div>
    <w:div w:id="1845853658">
      <w:bodyDiv w:val="1"/>
      <w:marLeft w:val="0"/>
      <w:marRight w:val="0"/>
      <w:marTop w:val="0"/>
      <w:marBottom w:val="0"/>
      <w:divBdr>
        <w:top w:val="none" w:sz="0" w:space="0" w:color="auto"/>
        <w:left w:val="none" w:sz="0" w:space="0" w:color="auto"/>
        <w:bottom w:val="none" w:sz="0" w:space="0" w:color="auto"/>
        <w:right w:val="none" w:sz="0" w:space="0" w:color="auto"/>
      </w:divBdr>
    </w:div>
    <w:div w:id="19682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nemeth@mirri.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ert.nemeth@mirri.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kosmovsky@mirri.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na.chrenkova.kusnirova@mirri.gov.sk" TargetMode="External"/><Relationship Id="rId4" Type="http://schemas.openxmlformats.org/officeDocument/2006/relationships/settings" Target="settings.xml"/><Relationship Id="rId9" Type="http://schemas.openxmlformats.org/officeDocument/2006/relationships/hyperlink" Target="mailto:elena.chrenkova.kusnirova@mirri.gov.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8E0C-C0F3-4DD5-9A10-88D581A3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14</Pages>
  <Words>4642</Words>
  <Characters>26465</Characters>
  <Application>Microsoft Office Word</Application>
  <DocSecurity>0</DocSecurity>
  <Lines>220</Lines>
  <Paragraphs>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Chrenková Kušnírová, Elena</cp:lastModifiedBy>
  <cp:revision>42</cp:revision>
  <cp:lastPrinted>2018-06-04T11:13:00Z</cp:lastPrinted>
  <dcterms:created xsi:type="dcterms:W3CDTF">2022-02-15T09:22:00Z</dcterms:created>
  <dcterms:modified xsi:type="dcterms:W3CDTF">2023-05-31T09:43:00Z</dcterms:modified>
</cp:coreProperties>
</file>